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FA119" w14:textId="77777777" w:rsidR="00BC1C1D" w:rsidRDefault="00000000">
      <w:r>
        <w:rPr>
          <w:noProof/>
        </w:rPr>
        <w:drawing>
          <wp:inline distT="0" distB="0" distL="114300" distR="114300" wp14:anchorId="69D29EA6" wp14:editId="501D3F03">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1552575"/>
                    </a:xfrm>
                    <a:prstGeom prst="rect">
                      <a:avLst/>
                    </a:prstGeom>
                    <a:noFill/>
                    <a:ln>
                      <a:noFill/>
                    </a:ln>
                  </pic:spPr>
                </pic:pic>
              </a:graphicData>
            </a:graphic>
          </wp:inline>
        </w:drawing>
      </w:r>
    </w:p>
    <w:p w14:paraId="133447D4" w14:textId="77777777" w:rsidR="00BC1C1D" w:rsidRDefault="00000000">
      <w:pPr>
        <w:jc w:val="center"/>
        <w:rPr>
          <w:rFonts w:ascii="楷体" w:eastAsia="楷体" w:hAnsi="楷体" w:cs="黑体" w:hint="eastAsia"/>
          <w:bCs/>
          <w:sz w:val="44"/>
          <w:szCs w:val="44"/>
        </w:rPr>
      </w:pP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5-</w:t>
      </w:r>
      <w:r>
        <w:rPr>
          <w:rFonts w:ascii="楷体" w:eastAsia="楷体" w:hAnsi="楷体" w:cs="黑体"/>
          <w:bCs/>
          <w:sz w:val="44"/>
          <w:szCs w:val="44"/>
        </w:rPr>
        <w:t>202</w:t>
      </w:r>
      <w:r>
        <w:rPr>
          <w:rFonts w:ascii="楷体" w:eastAsia="楷体" w:hAnsi="楷体" w:cs="黑体" w:hint="eastAsia"/>
          <w:bCs/>
          <w:sz w:val="44"/>
          <w:szCs w:val="44"/>
        </w:rPr>
        <w:t>6学年 第1学期）</w:t>
      </w:r>
    </w:p>
    <w:p w14:paraId="57B43A59" w14:textId="77777777" w:rsidR="00BC1C1D" w:rsidRDefault="00000000">
      <w:pPr>
        <w:jc w:val="center"/>
        <w:rPr>
          <w:rFonts w:eastAsia="黑体"/>
          <w:b/>
          <w:bCs/>
          <w:sz w:val="44"/>
          <w:szCs w:val="44"/>
        </w:rPr>
      </w:pPr>
      <w:r>
        <w:rPr>
          <w:rFonts w:eastAsia="黑体" w:cs="黑体" w:hint="eastAsia"/>
          <w:b/>
          <w:bCs/>
          <w:sz w:val="44"/>
          <w:szCs w:val="44"/>
        </w:rPr>
        <w:t xml:space="preserve"> </w:t>
      </w:r>
      <w:r>
        <w:rPr>
          <w:rFonts w:eastAsia="黑体" w:cs="黑体"/>
          <w:b/>
          <w:bCs/>
          <w:sz w:val="44"/>
          <w:szCs w:val="44"/>
        </w:rPr>
        <w:t xml:space="preserve"> </w:t>
      </w:r>
    </w:p>
    <w:p w14:paraId="382F5A39" w14:textId="77777777" w:rsidR="00BC1C1D" w:rsidRDefault="00BC1C1D">
      <w:pPr>
        <w:wordWrap w:val="0"/>
        <w:ind w:firstLineChars="450" w:firstLine="1988"/>
        <w:jc w:val="center"/>
        <w:rPr>
          <w:rFonts w:eastAsia="黑体"/>
          <w:b/>
          <w:bCs/>
          <w:sz w:val="44"/>
          <w:szCs w:val="44"/>
        </w:rPr>
      </w:pPr>
    </w:p>
    <w:p w14:paraId="0BA51A25" w14:textId="77777777" w:rsidR="00BC1C1D" w:rsidRDefault="00000000">
      <w:pPr>
        <w:wordWrap w:val="0"/>
        <w:jc w:val="center"/>
        <w:rPr>
          <w:rFonts w:eastAsia="黑体" w:cs="黑体"/>
          <w:bCs/>
          <w:sz w:val="44"/>
          <w:szCs w:val="44"/>
        </w:rPr>
      </w:pPr>
      <w:r>
        <w:rPr>
          <w:rFonts w:eastAsia="黑体" w:cs="黑体" w:hint="eastAsia"/>
          <w:bCs/>
          <w:sz w:val="44"/>
          <w:szCs w:val="44"/>
        </w:rPr>
        <w:t>《工程与社会》课程论文</w:t>
      </w:r>
    </w:p>
    <w:p w14:paraId="57E8C453" w14:textId="77777777" w:rsidR="00BC1C1D" w:rsidRDefault="00000000">
      <w:pPr>
        <w:wordWrap w:val="0"/>
        <w:jc w:val="center"/>
        <w:rPr>
          <w:sz w:val="18"/>
          <w:szCs w:val="18"/>
        </w:rPr>
      </w:pPr>
      <w:r>
        <w:rPr>
          <w:sz w:val="18"/>
          <w:szCs w:val="18"/>
        </w:rPr>
        <w:t> </w:t>
      </w:r>
    </w:p>
    <w:p w14:paraId="17C0778D" w14:textId="77777777" w:rsidR="00BC1C1D" w:rsidRDefault="00000000">
      <w:pPr>
        <w:wordWrap w:val="0"/>
        <w:jc w:val="center"/>
        <w:rPr>
          <w:sz w:val="18"/>
          <w:szCs w:val="18"/>
        </w:rPr>
      </w:pPr>
      <w:r>
        <w:rPr>
          <w:sz w:val="18"/>
          <w:szCs w:val="18"/>
        </w:rPr>
        <w:t> </w:t>
      </w:r>
    </w:p>
    <w:p w14:paraId="4DB71611" w14:textId="77777777" w:rsidR="00BC1C1D" w:rsidRDefault="00BC1C1D">
      <w:pPr>
        <w:wordWrap w:val="0"/>
        <w:jc w:val="left"/>
        <w:rPr>
          <w:b/>
          <w:bCs/>
          <w:sz w:val="18"/>
          <w:szCs w:val="18"/>
        </w:rPr>
      </w:pPr>
    </w:p>
    <w:p w14:paraId="03D66CB6" w14:textId="77777777" w:rsidR="00BC1C1D" w:rsidRDefault="00BC1C1D">
      <w:pPr>
        <w:wordWrap w:val="0"/>
        <w:jc w:val="left"/>
        <w:rPr>
          <w:b/>
          <w:bCs/>
          <w:sz w:val="18"/>
          <w:szCs w:val="18"/>
        </w:rPr>
      </w:pPr>
    </w:p>
    <w:p w14:paraId="5415301F" w14:textId="77777777" w:rsidR="00BC1C1D" w:rsidRDefault="00BC1C1D">
      <w:pPr>
        <w:wordWrap w:val="0"/>
        <w:jc w:val="left"/>
        <w:rPr>
          <w:b/>
          <w:bCs/>
          <w:sz w:val="18"/>
          <w:szCs w:val="18"/>
        </w:rPr>
      </w:pPr>
    </w:p>
    <w:p w14:paraId="0560A734" w14:textId="2EA9A949" w:rsidR="00BC1C1D" w:rsidRDefault="00000000" w:rsidP="002F3D3E">
      <w:pPr>
        <w:tabs>
          <w:tab w:val="left" w:pos="1080"/>
        </w:tabs>
        <w:wordWrap w:val="0"/>
        <w:ind w:leftChars="591" w:left="1841" w:hangingChars="200" w:hanging="600"/>
        <w:jc w:val="left"/>
        <w:rPr>
          <w:rFonts w:eastAsia="楷体_GB2312"/>
          <w:b/>
          <w:bCs/>
          <w:sz w:val="30"/>
          <w:szCs w:val="30"/>
          <w:u w:val="single"/>
        </w:rPr>
      </w:pPr>
      <w:r>
        <w:rPr>
          <w:rFonts w:eastAsia="楷体_GB2312" w:cs="楷体_GB2312" w:hint="eastAsia"/>
          <w:b/>
          <w:bCs/>
          <w:sz w:val="30"/>
          <w:szCs w:val="30"/>
        </w:rPr>
        <w:t>题</w:t>
      </w:r>
      <w:r>
        <w:rPr>
          <w:rFonts w:eastAsia="楷体_GB2312"/>
          <w:b/>
          <w:bCs/>
          <w:sz w:val="30"/>
          <w:szCs w:val="30"/>
        </w:rPr>
        <w:t xml:space="preserve">    </w:t>
      </w:r>
      <w:r>
        <w:rPr>
          <w:rFonts w:eastAsia="楷体_GB2312" w:cs="楷体_GB2312" w:hint="eastAsia"/>
          <w:b/>
          <w:bCs/>
          <w:sz w:val="30"/>
          <w:szCs w:val="30"/>
        </w:rPr>
        <w:t>目</w:t>
      </w:r>
      <w:r>
        <w:rPr>
          <w:rFonts w:eastAsia="楷体_GB2312"/>
          <w:b/>
          <w:bCs/>
          <w:sz w:val="30"/>
          <w:szCs w:val="30"/>
          <w:u w:val="single"/>
        </w:rPr>
        <w:t xml:space="preserve">  </w:t>
      </w:r>
      <w:r w:rsidR="002F3D3E" w:rsidRPr="002F3D3E">
        <w:rPr>
          <w:rFonts w:eastAsia="楷体_GB2312"/>
          <w:b/>
          <w:bCs/>
          <w:sz w:val="30"/>
          <w:szCs w:val="30"/>
          <w:u w:val="single"/>
        </w:rPr>
        <w:t>道德机器的困境：自动驾驶系统中功利</w:t>
      </w:r>
      <w:r w:rsidR="002F3D3E">
        <w:rPr>
          <w:rFonts w:eastAsia="楷体_GB2312" w:hint="eastAsia"/>
          <w:b/>
          <w:bCs/>
          <w:sz w:val="30"/>
          <w:szCs w:val="30"/>
          <w:u w:val="single"/>
        </w:rPr>
        <w:t xml:space="preserve">  </w:t>
      </w:r>
      <w:r w:rsidR="002F3D3E" w:rsidRPr="002F3D3E">
        <w:rPr>
          <w:rFonts w:eastAsia="楷体_GB2312"/>
          <w:b/>
          <w:bCs/>
          <w:sz w:val="30"/>
          <w:szCs w:val="30"/>
          <w:u w:val="single"/>
        </w:rPr>
        <w:t>主义伦理框架</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67FB28C4" w14:textId="56CE9FF1" w:rsidR="00BC1C1D" w:rsidRDefault="00000000">
      <w:pPr>
        <w:wordWrap w:val="0"/>
        <w:ind w:firstLineChars="591" w:firstLine="1773"/>
        <w:rPr>
          <w:rFonts w:eastAsia="楷体_GB2312"/>
          <w:sz w:val="30"/>
          <w:szCs w:val="30"/>
        </w:rPr>
      </w:pPr>
      <w:r>
        <w:rPr>
          <w:rFonts w:eastAsia="楷体_GB2312" w:cs="楷体_GB2312" w:hint="eastAsia"/>
          <w:b/>
          <w:bCs/>
          <w:sz w:val="30"/>
          <w:szCs w:val="30"/>
        </w:rPr>
        <w:t>所在学院</w:t>
      </w:r>
      <w:r>
        <w:rPr>
          <w:rFonts w:eastAsia="楷体_GB2312" w:hint="eastAsia"/>
          <w:b/>
          <w:bCs/>
          <w:sz w:val="30"/>
          <w:szCs w:val="30"/>
          <w:u w:val="single"/>
        </w:rPr>
        <w:t xml:space="preserve">  </w:t>
      </w:r>
      <w:r>
        <w:rPr>
          <w:rFonts w:eastAsia="楷体_GB2312"/>
          <w:b/>
          <w:bCs/>
          <w:sz w:val="30"/>
          <w:szCs w:val="30"/>
          <w:u w:val="single"/>
        </w:rPr>
        <w:t xml:space="preserve">    </w:t>
      </w:r>
      <w:r w:rsidR="003E4A20">
        <w:rPr>
          <w:rFonts w:eastAsia="楷体_GB2312" w:hint="eastAsia"/>
          <w:b/>
          <w:bCs/>
          <w:sz w:val="30"/>
          <w:szCs w:val="30"/>
          <w:u w:val="single"/>
        </w:rPr>
        <w:t>计算机学院</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p>
    <w:p w14:paraId="2957CDDB" w14:textId="76600CD1" w:rsidR="00BC1C1D"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专</w:t>
      </w:r>
      <w:r>
        <w:rPr>
          <w:rFonts w:eastAsia="楷体_GB2312" w:cs="楷体_GB2312" w:hint="eastAsia"/>
          <w:b/>
          <w:bCs/>
          <w:sz w:val="30"/>
          <w:szCs w:val="30"/>
        </w:rPr>
        <w:t xml:space="preserve"> </w:t>
      </w:r>
      <w:r>
        <w:rPr>
          <w:rFonts w:eastAsia="楷体_GB2312" w:cs="楷体_GB2312"/>
          <w:b/>
          <w:bCs/>
          <w:sz w:val="30"/>
          <w:szCs w:val="30"/>
        </w:rPr>
        <w:t xml:space="preserve">   </w:t>
      </w:r>
      <w:r>
        <w:rPr>
          <w:rFonts w:eastAsia="楷体_GB2312" w:cs="楷体_GB2312" w:hint="eastAsia"/>
          <w:b/>
          <w:bCs/>
          <w:sz w:val="30"/>
          <w:szCs w:val="30"/>
        </w:rPr>
        <w:t>业</w:t>
      </w:r>
      <w:r>
        <w:rPr>
          <w:rFonts w:eastAsia="楷体_GB2312" w:hint="eastAsia"/>
          <w:b/>
          <w:bCs/>
          <w:sz w:val="30"/>
          <w:szCs w:val="30"/>
          <w:u w:val="single"/>
        </w:rPr>
        <w:t xml:space="preserve">  </w:t>
      </w:r>
      <w:r>
        <w:rPr>
          <w:rFonts w:eastAsia="楷体_GB2312"/>
          <w:b/>
          <w:bCs/>
          <w:sz w:val="30"/>
          <w:szCs w:val="30"/>
          <w:u w:val="single"/>
        </w:rPr>
        <w:t xml:space="preserve">    </w:t>
      </w:r>
      <w:r w:rsidR="003E4A20">
        <w:rPr>
          <w:rFonts w:eastAsia="楷体_GB2312" w:hint="eastAsia"/>
          <w:b/>
          <w:bCs/>
          <w:sz w:val="30"/>
          <w:szCs w:val="30"/>
          <w:u w:val="single"/>
        </w:rPr>
        <w:t>计算机科学与技术</w:t>
      </w:r>
      <w:r>
        <w:rPr>
          <w:rFonts w:eastAsia="楷体_GB2312"/>
          <w:b/>
          <w:bCs/>
          <w:sz w:val="30"/>
          <w:szCs w:val="30"/>
          <w:u w:val="single"/>
        </w:rPr>
        <w:t xml:space="preserve">     </w:t>
      </w:r>
    </w:p>
    <w:p w14:paraId="28811E8E" w14:textId="61BB9044" w:rsidR="00BC1C1D" w:rsidRDefault="00000000">
      <w:pPr>
        <w:wordWrap w:val="0"/>
        <w:ind w:firstLineChars="591" w:firstLine="1773"/>
        <w:rPr>
          <w:rFonts w:eastAsia="楷体_GB2312"/>
          <w:sz w:val="30"/>
          <w:szCs w:val="30"/>
        </w:rPr>
      </w:pPr>
      <w:r>
        <w:rPr>
          <w:rFonts w:eastAsia="楷体_GB2312" w:cs="楷体_GB2312" w:hint="eastAsia"/>
          <w:b/>
          <w:bCs/>
          <w:sz w:val="30"/>
          <w:szCs w:val="30"/>
        </w:rPr>
        <w:t>年级班级</w:t>
      </w:r>
      <w:r>
        <w:rPr>
          <w:rFonts w:eastAsia="楷体_GB2312" w:hint="eastAsia"/>
          <w:b/>
          <w:bCs/>
          <w:sz w:val="30"/>
          <w:szCs w:val="30"/>
          <w:u w:val="single"/>
        </w:rPr>
        <w:t xml:space="preserve">  </w:t>
      </w:r>
      <w:r>
        <w:rPr>
          <w:rFonts w:eastAsia="楷体_GB2312"/>
          <w:b/>
          <w:bCs/>
          <w:sz w:val="30"/>
          <w:szCs w:val="30"/>
          <w:u w:val="single"/>
        </w:rPr>
        <w:t xml:space="preserve">    </w:t>
      </w:r>
      <w:r w:rsidR="003E4A20">
        <w:rPr>
          <w:rFonts w:eastAsia="楷体_GB2312" w:hint="eastAsia"/>
          <w:b/>
          <w:bCs/>
          <w:sz w:val="30"/>
          <w:szCs w:val="30"/>
          <w:u w:val="single"/>
        </w:rPr>
        <w:t>B220408</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7C7DF8D0" w14:textId="4C89936D" w:rsidR="00BC1C1D" w:rsidRDefault="00000000">
      <w:pPr>
        <w:wordWrap w:val="0"/>
        <w:ind w:firstLineChars="591" w:firstLine="1773"/>
        <w:rPr>
          <w:rFonts w:eastAsia="楷体_GB2312"/>
          <w:sz w:val="30"/>
          <w:szCs w:val="30"/>
        </w:rPr>
      </w:pPr>
      <w:r>
        <w:rPr>
          <w:rFonts w:eastAsia="楷体_GB2312" w:cs="楷体_GB2312" w:hint="eastAsia"/>
          <w:b/>
          <w:bCs/>
          <w:sz w:val="30"/>
          <w:szCs w:val="30"/>
        </w:rPr>
        <w:t>学</w:t>
      </w:r>
      <w:r>
        <w:rPr>
          <w:rFonts w:eastAsia="楷体_GB2312"/>
          <w:b/>
          <w:bCs/>
          <w:sz w:val="30"/>
          <w:szCs w:val="30"/>
        </w:rPr>
        <w:t xml:space="preserve">    </w:t>
      </w:r>
      <w:r>
        <w:rPr>
          <w:rFonts w:eastAsia="楷体_GB2312" w:cs="楷体_GB2312" w:hint="eastAsia"/>
          <w:b/>
          <w:bCs/>
          <w:sz w:val="30"/>
          <w:szCs w:val="30"/>
        </w:rPr>
        <w:t>号</w:t>
      </w:r>
      <w:r>
        <w:rPr>
          <w:rFonts w:eastAsia="楷体_GB2312"/>
          <w:b/>
          <w:bCs/>
          <w:sz w:val="30"/>
          <w:szCs w:val="30"/>
          <w:u w:val="single"/>
        </w:rPr>
        <w:t xml:space="preserve"> </w:t>
      </w:r>
      <w:r>
        <w:rPr>
          <w:rFonts w:eastAsia="楷体_GB2312" w:hint="eastAsia"/>
          <w:b/>
          <w:bCs/>
          <w:sz w:val="30"/>
          <w:szCs w:val="30"/>
          <w:u w:val="single"/>
        </w:rPr>
        <w:t xml:space="preserve">     </w:t>
      </w:r>
      <w:r w:rsidR="003E4A20">
        <w:rPr>
          <w:rFonts w:eastAsia="楷体_GB2312" w:hint="eastAsia"/>
          <w:b/>
          <w:bCs/>
          <w:sz w:val="30"/>
          <w:szCs w:val="30"/>
          <w:u w:val="single"/>
        </w:rPr>
        <w:t>B22040816</w:t>
      </w:r>
      <w:r>
        <w:rPr>
          <w:rFonts w:eastAsia="楷体_GB2312"/>
          <w:b/>
          <w:bCs/>
          <w:sz w:val="30"/>
          <w:szCs w:val="30"/>
          <w:u w:val="single"/>
        </w:rPr>
        <w:t xml:space="preserve">            </w:t>
      </w:r>
    </w:p>
    <w:p w14:paraId="07BF2B7E" w14:textId="54AD6EEF" w:rsidR="00BC1C1D"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姓</w:t>
      </w:r>
      <w:r>
        <w:rPr>
          <w:rFonts w:eastAsia="楷体_GB2312"/>
          <w:b/>
          <w:bCs/>
          <w:sz w:val="30"/>
          <w:szCs w:val="30"/>
        </w:rPr>
        <w:t xml:space="preserve">   </w:t>
      </w:r>
      <w:r>
        <w:rPr>
          <w:rFonts w:eastAsia="楷体_GB2312" w:hint="eastAsia"/>
          <w:b/>
          <w:bCs/>
          <w:sz w:val="30"/>
          <w:szCs w:val="30"/>
        </w:rPr>
        <w:t xml:space="preserve"> </w:t>
      </w:r>
      <w:r>
        <w:rPr>
          <w:rFonts w:eastAsia="楷体_GB2312" w:cs="楷体_GB2312" w:hint="eastAsia"/>
          <w:b/>
          <w:bCs/>
          <w:sz w:val="30"/>
          <w:szCs w:val="30"/>
        </w:rPr>
        <w:t>名</w:t>
      </w:r>
      <w:r>
        <w:rPr>
          <w:rFonts w:eastAsia="楷体_GB2312" w:hint="eastAsia"/>
          <w:b/>
          <w:bCs/>
          <w:sz w:val="30"/>
          <w:szCs w:val="30"/>
          <w:u w:val="single"/>
        </w:rPr>
        <w:t xml:space="preserve">     </w:t>
      </w:r>
      <w:r>
        <w:rPr>
          <w:rFonts w:eastAsia="楷体_GB2312"/>
          <w:b/>
          <w:bCs/>
          <w:sz w:val="30"/>
          <w:szCs w:val="30"/>
          <w:u w:val="single"/>
        </w:rPr>
        <w:t xml:space="preserve"> </w:t>
      </w:r>
      <w:r w:rsidR="003E4A20">
        <w:rPr>
          <w:rFonts w:eastAsia="楷体_GB2312" w:hint="eastAsia"/>
          <w:b/>
          <w:bCs/>
          <w:sz w:val="30"/>
          <w:szCs w:val="30"/>
          <w:u w:val="single"/>
        </w:rPr>
        <w:t>陈浩然</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4BF431DA" w14:textId="714873C3" w:rsidR="00BC1C1D" w:rsidRDefault="00000000">
      <w:pPr>
        <w:wordWrap w:val="0"/>
        <w:ind w:firstLineChars="591" w:firstLine="1773"/>
        <w:rPr>
          <w:rFonts w:eastAsia="楷体_GB2312"/>
          <w:sz w:val="30"/>
          <w:szCs w:val="30"/>
        </w:rPr>
      </w:pPr>
      <w:r>
        <w:rPr>
          <w:rFonts w:eastAsia="楷体_GB2312" w:cs="楷体_GB2312" w:hint="eastAsia"/>
          <w:b/>
          <w:bCs/>
          <w:sz w:val="30"/>
          <w:szCs w:val="30"/>
        </w:rPr>
        <w:t>授课教师</w:t>
      </w:r>
      <w:r>
        <w:rPr>
          <w:rFonts w:eastAsia="楷体_GB2312" w:hint="eastAsia"/>
          <w:b/>
          <w:bCs/>
          <w:sz w:val="30"/>
          <w:szCs w:val="30"/>
          <w:u w:val="single"/>
        </w:rPr>
        <w:t xml:space="preserve">  </w:t>
      </w:r>
      <w:r>
        <w:rPr>
          <w:rFonts w:eastAsia="楷体_GB2312"/>
          <w:b/>
          <w:bCs/>
          <w:sz w:val="30"/>
          <w:szCs w:val="30"/>
          <w:u w:val="single"/>
        </w:rPr>
        <w:t xml:space="preserve">    </w:t>
      </w:r>
      <w:r w:rsidR="003E4A20">
        <w:rPr>
          <w:rFonts w:eastAsia="楷体_GB2312" w:hint="eastAsia"/>
          <w:b/>
          <w:bCs/>
          <w:sz w:val="30"/>
          <w:szCs w:val="30"/>
          <w:u w:val="single"/>
        </w:rPr>
        <w:t>张莹</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7229510F" w14:textId="77777777" w:rsidR="00BC1C1D" w:rsidRDefault="00BC1C1D">
      <w:pPr>
        <w:wordWrap w:val="0"/>
        <w:rPr>
          <w:sz w:val="18"/>
          <w:szCs w:val="18"/>
        </w:rPr>
      </w:pPr>
    </w:p>
    <w:p w14:paraId="361796A0" w14:textId="77777777" w:rsidR="00BC1C1D" w:rsidRDefault="00BC1C1D">
      <w:pPr>
        <w:ind w:firstLineChars="1850" w:firstLine="3330"/>
        <w:rPr>
          <w:sz w:val="18"/>
          <w:szCs w:val="18"/>
        </w:rPr>
      </w:pPr>
    </w:p>
    <w:p w14:paraId="41FA3A70" w14:textId="77777777" w:rsidR="00BC1C1D" w:rsidRDefault="00BC1C1D">
      <w:pPr>
        <w:rPr>
          <w:sz w:val="18"/>
          <w:szCs w:val="18"/>
        </w:rPr>
      </w:pPr>
    </w:p>
    <w:p w14:paraId="37A0AB03" w14:textId="77777777" w:rsidR="00BC1C1D" w:rsidRDefault="00000000">
      <w:pPr>
        <w:spacing w:line="360" w:lineRule="auto"/>
        <w:jc w:val="center"/>
        <w:rPr>
          <w:rFonts w:ascii="仿宋" w:eastAsia="仿宋" w:hAnsi="仿宋" w:hint="eastAsia"/>
          <w:b/>
          <w:bCs/>
          <w:sz w:val="30"/>
          <w:szCs w:val="30"/>
        </w:rPr>
      </w:pPr>
      <w:r>
        <w:rPr>
          <w:rFonts w:ascii="仿宋" w:eastAsia="仿宋" w:hAnsi="仿宋" w:cs="黑体" w:hint="eastAsia"/>
          <w:b/>
          <w:bCs/>
          <w:sz w:val="30"/>
          <w:szCs w:val="30"/>
        </w:rPr>
        <w:t xml:space="preserve"> </w:t>
      </w:r>
      <w:r>
        <w:rPr>
          <w:rFonts w:ascii="仿宋" w:eastAsia="仿宋" w:hAnsi="仿宋" w:cs="黑体"/>
          <w:b/>
          <w:bCs/>
          <w:sz w:val="30"/>
          <w:szCs w:val="30"/>
        </w:rPr>
        <w:t xml:space="preserve">   </w:t>
      </w:r>
      <w:r>
        <w:rPr>
          <w:rFonts w:ascii="仿宋" w:eastAsia="仿宋" w:hAnsi="仿宋" w:cs="黑体" w:hint="eastAsia"/>
          <w:b/>
          <w:bCs/>
          <w:sz w:val="30"/>
          <w:szCs w:val="30"/>
        </w:rPr>
        <w:t>社会与人口</w:t>
      </w:r>
      <w:r>
        <w:rPr>
          <w:rFonts w:ascii="仿宋" w:eastAsia="仿宋" w:hAnsi="仿宋" w:hint="eastAsia"/>
          <w:b/>
          <w:bCs/>
          <w:sz w:val="30"/>
          <w:szCs w:val="30"/>
        </w:rPr>
        <w:t>学院</w:t>
      </w:r>
    </w:p>
    <w:p w14:paraId="29CD6124" w14:textId="77777777" w:rsidR="00BC1C1D" w:rsidRDefault="00000000">
      <w:pPr>
        <w:spacing w:line="360" w:lineRule="auto"/>
        <w:jc w:val="center"/>
        <w:rPr>
          <w:rFonts w:ascii="仿宋" w:eastAsia="仿宋" w:hAnsi="仿宋" w:hint="eastAsia"/>
          <w:sz w:val="24"/>
          <w:szCs w:val="24"/>
        </w:rPr>
      </w:pPr>
      <w:r>
        <w:rPr>
          <w:rFonts w:ascii="仿宋" w:eastAsia="仿宋" w:hAnsi="仿宋"/>
          <w:sz w:val="24"/>
          <w:szCs w:val="24"/>
        </w:rPr>
        <w:t xml:space="preserve">     </w:t>
      </w:r>
      <w:r>
        <w:rPr>
          <w:rFonts w:ascii="仿宋" w:eastAsia="仿宋" w:hAnsi="仿宋" w:hint="eastAsia"/>
          <w:sz w:val="24"/>
          <w:szCs w:val="24"/>
        </w:rPr>
        <w:t xml:space="preserve">年 </w:t>
      </w:r>
      <w:r>
        <w:rPr>
          <w:rFonts w:ascii="仿宋" w:eastAsia="仿宋" w:hAnsi="仿宋"/>
          <w:sz w:val="24"/>
          <w:szCs w:val="24"/>
        </w:rPr>
        <w:t xml:space="preserve">  </w:t>
      </w:r>
      <w:r>
        <w:rPr>
          <w:rFonts w:ascii="仿宋" w:eastAsia="仿宋" w:hAnsi="仿宋" w:hint="eastAsia"/>
          <w:sz w:val="24"/>
          <w:szCs w:val="24"/>
        </w:rPr>
        <w:t xml:space="preserve">月 </w:t>
      </w:r>
      <w:r>
        <w:rPr>
          <w:rFonts w:ascii="仿宋" w:eastAsia="仿宋" w:hAnsi="仿宋"/>
          <w:sz w:val="24"/>
          <w:szCs w:val="24"/>
        </w:rPr>
        <w:t xml:space="preserve">  </w:t>
      </w:r>
      <w:r>
        <w:rPr>
          <w:rFonts w:ascii="仿宋" w:eastAsia="仿宋" w:hAnsi="仿宋" w:hint="eastAsia"/>
          <w:sz w:val="24"/>
          <w:szCs w:val="24"/>
        </w:rPr>
        <w:t>日</w:t>
      </w:r>
    </w:p>
    <w:p w14:paraId="47146DC1" w14:textId="623DA123" w:rsidR="00BC1C1D" w:rsidRDefault="00000000" w:rsidP="009A6FBE">
      <w:pPr>
        <w:pStyle w:val="a7"/>
      </w:pPr>
      <w:r>
        <w:br w:type="page"/>
      </w:r>
      <w:r w:rsidR="009A6FBE" w:rsidRPr="009A6FBE">
        <w:rPr>
          <w:rFonts w:hint="eastAsia"/>
        </w:rPr>
        <w:lastRenderedPageBreak/>
        <w:t>道德机器的困境：自动驾驶系统中功利主义伦理框架</w:t>
      </w:r>
    </w:p>
    <w:p w14:paraId="6978EDF3" w14:textId="0BFA9095" w:rsidR="009A6FBE" w:rsidRPr="009A6FBE" w:rsidRDefault="009A6FBE" w:rsidP="00197626">
      <w:pPr>
        <w:jc w:val="left"/>
        <w:rPr>
          <w:sz w:val="24"/>
          <w:szCs w:val="24"/>
        </w:rPr>
      </w:pPr>
      <w:r w:rsidRPr="009A6FBE">
        <w:rPr>
          <w:rStyle w:val="a9"/>
          <w:rFonts w:ascii="Segoe UI" w:hAnsi="Segoe UI" w:cs="Segoe UI"/>
          <w:color w:val="0F1115"/>
          <w:sz w:val="24"/>
          <w:szCs w:val="24"/>
          <w:shd w:val="clear" w:color="auto" w:fill="FFFFFF"/>
        </w:rPr>
        <w:t>摘要</w:t>
      </w:r>
      <w:r>
        <w:rPr>
          <w:rStyle w:val="a9"/>
          <w:rFonts w:ascii="Segoe UI" w:hAnsi="Segoe UI" w:cs="Segoe UI" w:hint="eastAsia"/>
          <w:color w:val="0F1115"/>
          <w:sz w:val="24"/>
          <w:szCs w:val="24"/>
          <w:shd w:val="clear" w:color="auto" w:fill="FFFFFF"/>
        </w:rPr>
        <w:t>：</w:t>
      </w:r>
      <w:r>
        <w:rPr>
          <w:rStyle w:val="a9"/>
          <w:rFonts w:ascii="Segoe UI" w:hAnsi="Segoe UI" w:cs="Segoe UI"/>
          <w:color w:val="0F1115"/>
          <w:sz w:val="24"/>
          <w:szCs w:val="24"/>
          <w:shd w:val="clear" w:color="auto" w:fill="FFFFFF"/>
        </w:rPr>
        <w:br/>
      </w:r>
      <w:r w:rsidRPr="009A6FBE">
        <w:rPr>
          <w:rFonts w:hint="eastAsia"/>
          <w:sz w:val="24"/>
          <w:szCs w:val="24"/>
        </w:rPr>
        <w:t>自动驾驶系统在不可避免的事故中应如何决策，是当前人工智能伦理的核心难题。功利主义伦理框架因其结果导向与算法优化逻辑的高度契合，常被视为实现自动化道德决策的首选方案。然而，本文揭示该框架在应用中存在根本性局限：首先，面临量化困境，生命、伤害等异质价值难以被公正地统合为单一效用单位；其次，陷入正义困境，追求总体效用最大化可能牺牲少数个体权益，演变为算法化的“多数人暴政”；最后，引发接受度悖论，即公众在抽象层面认同功利主义原则，却不愿信任依此决策的车辆。研究表明，单一的功利主义计算无法承载人类道德的复杂性与社会期望。因此，未来自动驾驶伦理设计必须超越功利主义，融合多元伦理视角，并通过制度设计确保决策透明与公众参与，从而在科技与人文之间建立负责任的平衡。</w:t>
      </w:r>
    </w:p>
    <w:p w14:paraId="3A248997" w14:textId="0D9ED2D9" w:rsidR="009A6FBE" w:rsidRPr="009A6FBE" w:rsidRDefault="009A6FBE" w:rsidP="009A6FBE">
      <w:pPr>
        <w:spacing w:beforeLines="50" w:before="156" w:afterLines="50" w:after="156" w:line="360" w:lineRule="auto"/>
        <w:rPr>
          <w:rFonts w:asciiTheme="minorEastAsia" w:hAnsiTheme="minorEastAsia" w:cs="黑体" w:hint="eastAsia"/>
          <w:bCs/>
          <w:sz w:val="24"/>
          <w:szCs w:val="24"/>
        </w:rPr>
      </w:pPr>
      <w:r w:rsidRPr="009A6FBE">
        <w:rPr>
          <w:rFonts w:asciiTheme="minorEastAsia" w:hAnsiTheme="minorEastAsia" w:cs="黑体"/>
          <w:b/>
          <w:bCs/>
          <w:sz w:val="24"/>
          <w:szCs w:val="24"/>
        </w:rPr>
        <w:t>关键词</w:t>
      </w:r>
      <w:r w:rsidRPr="009A6FBE">
        <w:rPr>
          <w:rFonts w:asciiTheme="minorEastAsia" w:hAnsiTheme="minorEastAsia" w:cs="黑体"/>
          <w:bCs/>
          <w:sz w:val="24"/>
          <w:szCs w:val="24"/>
        </w:rPr>
        <w:t>：</w:t>
      </w:r>
      <w:r w:rsidRPr="009A6FBE">
        <w:rPr>
          <w:rFonts w:asciiTheme="minorEastAsia" w:hAnsiTheme="minorEastAsia" w:cs="黑体" w:hint="eastAsia"/>
          <w:bCs/>
          <w:sz w:val="24"/>
          <w:szCs w:val="24"/>
        </w:rPr>
        <w:t>自动驾驶；功利主义；机器伦理；算法决策；社会责任</w:t>
      </w:r>
    </w:p>
    <w:p w14:paraId="12C1B86A" w14:textId="2EFE6A55" w:rsidR="009A6FBE" w:rsidRDefault="00197626" w:rsidP="00197626">
      <w:pPr>
        <w:pStyle w:val="2"/>
        <w:numPr>
          <w:ilvl w:val="0"/>
          <w:numId w:val="1"/>
        </w:numPr>
      </w:pPr>
      <w:r>
        <w:rPr>
          <w:rFonts w:hint="eastAsia"/>
        </w:rPr>
        <w:t>引言</w:t>
      </w:r>
    </w:p>
    <w:p w14:paraId="3C0F4EB5" w14:textId="0A996CD2" w:rsidR="00197626" w:rsidRDefault="00197626" w:rsidP="00197626">
      <w:pPr>
        <w:pStyle w:val="aa"/>
        <w:jc w:val="left"/>
      </w:pPr>
      <w:r>
        <w:rPr>
          <w:rFonts w:hint="eastAsia"/>
        </w:rPr>
        <w:t>1.1</w:t>
      </w:r>
      <w:r>
        <w:rPr>
          <w:rFonts w:hint="eastAsia"/>
        </w:rPr>
        <w:t>研究背景</w:t>
      </w:r>
    </w:p>
    <w:p w14:paraId="324B415C" w14:textId="759CD7F4" w:rsidR="00197626" w:rsidRDefault="00197626" w:rsidP="00197626">
      <w:pPr>
        <w:ind w:firstLineChars="200" w:firstLine="420"/>
      </w:pPr>
      <w:r>
        <w:rPr>
          <w:rFonts w:hint="eastAsia"/>
        </w:rPr>
        <w:t>人工智能的快速发展正深刻重塑社会结构与人类生活方式，其在带来巨大机遇的同时，也引发了一系列伦理、法律与社会挑战。在此背景下，国际社会逐渐形成了一系列人工智能发展原则，涵盖研发、使用与治理三大维度，旨在引导技术向善、可控、可靠、包容和</w:t>
      </w:r>
      <w:proofErr w:type="gramStart"/>
      <w:r>
        <w:rPr>
          <w:rFonts w:hint="eastAsia"/>
        </w:rPr>
        <w:t>可</w:t>
      </w:r>
      <w:proofErr w:type="gramEnd"/>
      <w:r>
        <w:rPr>
          <w:rFonts w:hint="eastAsia"/>
        </w:rPr>
        <w:t>持续的方向演进。上述原则体系强调人工智能须以“造福人类”为根本目标，遵循负责任创新、风险控制、伦理嵌入、多元包容等核心价值，并在使用中倡导知情同意、善用慎用，在治理上关注就业适应、国际合作与长远规划。这标志着全球人工智能</w:t>
      </w:r>
      <w:proofErr w:type="gramStart"/>
      <w:r>
        <w:rPr>
          <w:rFonts w:hint="eastAsia"/>
        </w:rPr>
        <w:t>治理正</w:t>
      </w:r>
      <w:proofErr w:type="gramEnd"/>
      <w:r>
        <w:rPr>
          <w:rFonts w:hint="eastAsia"/>
        </w:rPr>
        <w:t>从理念倡导走向制度构建。</w:t>
      </w:r>
      <w:hyperlink w:anchor="_引用文献" w:history="1">
        <w:r w:rsidR="0066479D" w:rsidRPr="0066479D">
          <w:rPr>
            <w:rStyle w:val="ac"/>
          </w:rPr>
          <w:t>[1]</w:t>
        </w:r>
      </w:hyperlink>
      <w:r w:rsidR="008D056E">
        <w:rPr>
          <w:rFonts w:hint="eastAsia"/>
        </w:rPr>
        <w:t>[2]</w:t>
      </w:r>
    </w:p>
    <w:p w14:paraId="1A78FFEA" w14:textId="6EDEABFD" w:rsidR="00197626" w:rsidRDefault="00197626" w:rsidP="00197626">
      <w:pPr>
        <w:ind w:firstLineChars="200" w:firstLine="420"/>
      </w:pPr>
      <w:r>
        <w:rPr>
          <w:rFonts w:hint="eastAsia"/>
        </w:rPr>
        <w:t>然而，现有原则多处于宏观倡导层面，在具体落地时仍面临多重张力：伦理原则与技术可行性的冲突、跨文化语境下的价值协调困境、企业实践与伦理规范的落差，以及敏捷创新与稳健治理之间的平衡难题。尤其在自动驾驶、医疗诊断、司法预测等高风险决策场景中，如何将“合乎伦理”“公平透明”“可控可靠”等抽象原则转化为可执行、可审查、可问责的技术设计与制度安排，已成为制约人工智能社会信任与可持续发展的关键瓶颈。</w:t>
      </w:r>
    </w:p>
    <w:p w14:paraId="334769C9" w14:textId="76AC8394" w:rsidR="00B83FDC" w:rsidRDefault="00B83FDC" w:rsidP="00B83FDC">
      <w:pPr>
        <w:pStyle w:val="aa"/>
        <w:jc w:val="left"/>
      </w:pPr>
      <w:r>
        <w:rPr>
          <w:rFonts w:hint="eastAsia"/>
        </w:rPr>
        <w:t>1.2</w:t>
      </w:r>
      <w:r w:rsidR="00197626" w:rsidRPr="00197626">
        <w:t>研究目的</w:t>
      </w:r>
    </w:p>
    <w:p w14:paraId="35C3851D" w14:textId="4D40353E" w:rsidR="00197626" w:rsidRDefault="00197626" w:rsidP="00B83FDC">
      <w:pPr>
        <w:ind w:firstLineChars="200" w:firstLine="420"/>
      </w:pPr>
      <w:r w:rsidRPr="00197626">
        <w:t>本文旨在系统审视当前人工智能伦理与治理原则体系在具体应用场景中的实施困境与转化路径。研究将聚焦于高风险的自主决策系统（如自动驾驶），通过理论与案例相结合的方法，分析伦理原则在技术设计、制度构建与社会接受度等层面的现实挑战，尤其关注不同伦理框架（如功利主义、道义论等）在算法中的嵌入逻辑及其局限性。在此基础上，本研究试图构建一个多层衔接、动态适应的人工智能伦理治理机制，推动原则从文本走向实践，为促进可信、负责任、可持续的人工智能发展提供理论参考与路径建议。</w:t>
      </w:r>
    </w:p>
    <w:p w14:paraId="7FB1DF53" w14:textId="77777777" w:rsidR="008D056E" w:rsidRPr="00197626" w:rsidRDefault="008D056E" w:rsidP="00B83FDC">
      <w:pPr>
        <w:ind w:firstLineChars="200" w:firstLine="420"/>
      </w:pPr>
    </w:p>
    <w:p w14:paraId="1D924D78" w14:textId="77777777" w:rsidR="008D056E" w:rsidRPr="008D056E" w:rsidRDefault="008D056E" w:rsidP="008D056E">
      <w:pPr>
        <w:widowControl/>
        <w:shd w:val="clear" w:color="auto" w:fill="FFFFFF"/>
        <w:spacing w:after="240" w:line="450" w:lineRule="atLeast"/>
        <w:jc w:val="left"/>
        <w:outlineLvl w:val="2"/>
        <w:rPr>
          <w:rFonts w:ascii="Segoe UI" w:eastAsia="宋体" w:hAnsi="Segoe UI" w:cs="Segoe UI"/>
          <w:b/>
          <w:bCs/>
          <w:color w:val="0F1115"/>
          <w:kern w:val="0"/>
          <w:sz w:val="30"/>
          <w:szCs w:val="30"/>
        </w:rPr>
      </w:pPr>
      <w:r w:rsidRPr="008D056E">
        <w:rPr>
          <w:rFonts w:ascii="Segoe UI" w:eastAsia="宋体" w:hAnsi="Segoe UI" w:cs="Segoe UI"/>
          <w:b/>
          <w:bCs/>
          <w:color w:val="0F1115"/>
          <w:kern w:val="0"/>
          <w:sz w:val="30"/>
          <w:szCs w:val="30"/>
        </w:rPr>
        <w:lastRenderedPageBreak/>
        <w:t>二、</w:t>
      </w:r>
      <w:r w:rsidRPr="008D056E">
        <w:rPr>
          <w:rFonts w:ascii="Segoe UI" w:eastAsia="宋体" w:hAnsi="Segoe UI" w:cs="Segoe UI"/>
          <w:b/>
          <w:bCs/>
          <w:color w:val="0F1115"/>
          <w:kern w:val="0"/>
          <w:sz w:val="30"/>
          <w:szCs w:val="30"/>
        </w:rPr>
        <w:t xml:space="preserve"> </w:t>
      </w:r>
      <w:r w:rsidRPr="008D056E">
        <w:rPr>
          <w:rFonts w:ascii="Segoe UI" w:eastAsia="宋体" w:hAnsi="Segoe UI" w:cs="Segoe UI"/>
          <w:b/>
          <w:bCs/>
          <w:color w:val="0F1115"/>
          <w:kern w:val="0"/>
          <w:sz w:val="30"/>
          <w:szCs w:val="30"/>
        </w:rPr>
        <w:t>文献综述：功利主义算法的理论适配与实践争议</w:t>
      </w:r>
    </w:p>
    <w:p w14:paraId="356A1839" w14:textId="0FE60E9C" w:rsidR="008D056E" w:rsidRPr="008D056E" w:rsidRDefault="008D056E" w:rsidP="008D056E">
      <w:pPr>
        <w:ind w:firstLineChars="200" w:firstLine="420"/>
      </w:pPr>
      <w:r w:rsidRPr="008D056E">
        <w:t>自动驾驶技术的伦理决策问题，已从一个抽象的哲学命题演变为一个紧迫的工程学与法学交叉课题。学术界围绕</w:t>
      </w:r>
      <w:r w:rsidRPr="008D056E">
        <w:t>“</w:t>
      </w:r>
      <w:r w:rsidRPr="008D056E">
        <w:t>道德机器</w:t>
      </w:r>
      <w:r w:rsidRPr="008D056E">
        <w:t>”</w:t>
      </w:r>
      <w:r w:rsidRPr="008D056E">
        <w:t>应如何编程，形成了多元且相互竞争的理论范式与算法方案。当前的主流研究脉络可大致归纳为三个方向：其一，是以结果为导向、追求</w:t>
      </w:r>
      <w:r w:rsidRPr="008D056E">
        <w:t>“</w:t>
      </w:r>
      <w:r w:rsidRPr="008D056E">
        <w:t>伤亡最小化</w:t>
      </w:r>
      <w:r w:rsidRPr="008D056E">
        <w:t>”</w:t>
      </w:r>
      <w:r w:rsidRPr="008D056E">
        <w:t>的功利主义算法；其二，是强调公平正义与权利优先、带有罗尔斯主义色彩的公平算法；其三，是主张将道德抉择权交还给用户或社会的</w:t>
      </w:r>
      <w:r w:rsidRPr="008D056E">
        <w:t>“</w:t>
      </w:r>
      <w:r w:rsidRPr="008D056E">
        <w:t>伦理旋钮</w:t>
      </w:r>
      <w:r w:rsidRPr="008D056E">
        <w:t>”</w:t>
      </w:r>
      <w:r w:rsidRPr="008D056E">
        <w:t>或价值敏感设计算法。</w:t>
      </w:r>
      <w:r>
        <w:rPr>
          <w:rFonts w:hint="eastAsia"/>
        </w:rPr>
        <w:t>[3]</w:t>
      </w:r>
      <w:r w:rsidRPr="008D056E">
        <w:t>在这三者中，功利主义算法因其逻辑的简洁性、目标的可量化性以及与工程优化思维的高度契合，在技术研发初期获得了显著的青睐，被视为解决极端困境最具</w:t>
      </w:r>
      <w:r w:rsidRPr="008D056E">
        <w:t>“</w:t>
      </w:r>
      <w:r w:rsidRPr="008D056E">
        <w:t>可操作性</w:t>
      </w:r>
      <w:r w:rsidRPr="008D056E">
        <w:t>”</w:t>
      </w:r>
      <w:r w:rsidRPr="008D056E">
        <w:t>的方案。功利主义算法的理论适配性根植于其深厚的哲学基础与清晰的数学表达。在经典功利主义伦理观看来，一个行动的道德价值取决于其产生的后果，即能否实现</w:t>
      </w:r>
      <w:r w:rsidRPr="008D056E">
        <w:t>“</w:t>
      </w:r>
      <w:r w:rsidRPr="008D056E">
        <w:t>最大多数人的最大幸福</w:t>
      </w:r>
      <w:r w:rsidRPr="008D056E">
        <w:t>”</w:t>
      </w:r>
      <w:r w:rsidRPr="008D056E">
        <w:t>。映射到自动驾驶的碰撞决策中，这一原则被具体化为一个成本函数优化问题：算法需要在瞬息万变的事态中，快速计算并选择一条预期总体伤害（通常考虑伤亡人数、伤害严重程度）最小的路径。这种将伦理问题转化为数学优化问题的思路，完美适配了以数据驱动和模型计算为核心的人工智能技术范式。支持者认为，在面对无法避免的伤害时，功利主义为决策提供了一个理性、一致且可辩护的客观标准。例如，有研究明确指出，当系统必须在不同群体的生命之间做出选择时，应遵循</w:t>
      </w:r>
      <w:r w:rsidRPr="008D056E">
        <w:t>“</w:t>
      </w:r>
      <w:r w:rsidRPr="008D056E">
        <w:t>保护多数生命</w:t>
      </w:r>
      <w:r w:rsidRPr="008D056E">
        <w:t>”</w:t>
      </w:r>
      <w:r w:rsidRPr="008D056E">
        <w:t>的原则，这被认为是一种</w:t>
      </w:r>
      <w:r w:rsidRPr="008D056E">
        <w:t>“</w:t>
      </w:r>
      <w:r w:rsidRPr="008D056E">
        <w:t>两害相权取其轻</w:t>
      </w:r>
      <w:r w:rsidRPr="008D056E">
        <w:t>”</w:t>
      </w:r>
      <w:r w:rsidRPr="008D056E">
        <w:t>的务实道德。</w:t>
      </w:r>
      <w:r w:rsidRPr="008D056E">
        <w:t>2016</w:t>
      </w:r>
      <w:r w:rsidRPr="008D056E">
        <w:t>年《科学》杂志上发表的</w:t>
      </w:r>
      <w:r w:rsidRPr="008D056E">
        <w:t>“</w:t>
      </w:r>
      <w:r w:rsidRPr="008D056E">
        <w:t>自动驾驶汽车的社会困境</w:t>
      </w:r>
      <w:r w:rsidRPr="008D056E">
        <w:t>”</w:t>
      </w:r>
      <w:r w:rsidRPr="008D056E">
        <w:t>研究，以及后续更庞大的</w:t>
      </w:r>
      <w:r w:rsidRPr="008D056E">
        <w:t>“</w:t>
      </w:r>
      <w:r w:rsidRPr="008D056E">
        <w:t>道德机器实验</w:t>
      </w:r>
      <w:r w:rsidRPr="008D056E">
        <w:t>”</w:t>
      </w:r>
      <w:r w:rsidRPr="008D056E">
        <w:t>通过全球性的在线调查表明，公众在抽象的道德判断测试中，确实普遍表现出对功利主义选择的偏好，即倾向于牺牲少数人以拯救多数人。这为功利主义算法的</w:t>
      </w:r>
      <w:r w:rsidRPr="008D056E">
        <w:t>“</w:t>
      </w:r>
      <w:r w:rsidRPr="008D056E">
        <w:t>道德合法性</w:t>
      </w:r>
      <w:r w:rsidRPr="008D056E">
        <w:t>”</w:t>
      </w:r>
      <w:r w:rsidRPr="008D056E">
        <w:t>提供了一定的社会心理学依据。</w:t>
      </w:r>
    </w:p>
    <w:p w14:paraId="4230150E" w14:textId="77777777" w:rsidR="008D056E" w:rsidRPr="008D056E" w:rsidRDefault="008D056E" w:rsidP="008D056E">
      <w:pPr>
        <w:ind w:firstLineChars="200" w:firstLine="420"/>
      </w:pPr>
      <w:r w:rsidRPr="008D056E">
        <w:t>然而，随着讨论的深入，功利主义算法所引发的实践争议与伦理批判日益尖锐和系统化。批评者指出，将复杂的生命伦理简化为一个冷冰冰的效用计算方程，忽视了道德中诸多不可化约的核心维度。</w:t>
      </w:r>
    </w:p>
    <w:p w14:paraId="49A48577" w14:textId="2FFAA40E" w:rsidR="008D056E" w:rsidRPr="008D056E" w:rsidRDefault="008D056E" w:rsidP="008D056E">
      <w:pPr>
        <w:ind w:firstLineChars="200" w:firstLine="420"/>
      </w:pPr>
      <w:r w:rsidRPr="008D056E">
        <w:t>首先，是根本性的量化困境。功利主义计算的前提是将所有价值（最根本的是人的生命、健康、尊严）置于一个统一的尺度上进行衡量和比较。然而，如何公正地量化一条生命？不同年龄、健康状况、社会角色的人，其生命价值是否等同？进一步而言，将主动违规的行人与遵守交规的乘客所面临的风险进行数学加减，是否本身就构成了一种道德上的谬误？东南大学法学院杨洁教授尖锐地指出，功利主义算法的运行逻辑内在地要求预先设定或计算出一个</w:t>
      </w:r>
      <w:r w:rsidRPr="008D056E">
        <w:t>“</w:t>
      </w:r>
      <w:r w:rsidRPr="008D056E">
        <w:t>可牺牲者</w:t>
      </w:r>
      <w:r w:rsidRPr="008D056E">
        <w:t>”</w:t>
      </w:r>
      <w:r w:rsidRPr="008D056E">
        <w:t>，这直接与现代法治社会</w:t>
      </w:r>
      <w:r w:rsidRPr="008D056E">
        <w:t>“</w:t>
      </w:r>
      <w:r w:rsidRPr="008D056E">
        <w:t>生命尊严平等</w:t>
      </w:r>
      <w:r w:rsidRPr="008D056E">
        <w:t>”</w:t>
      </w:r>
      <w:r w:rsidRPr="008D056E">
        <w:t>和</w:t>
      </w:r>
      <w:r w:rsidRPr="008D056E">
        <w:t>“</w:t>
      </w:r>
      <w:r w:rsidRPr="008D056E">
        <w:t>任何人不得被工具化</w:t>
      </w:r>
      <w:r w:rsidRPr="008D056E">
        <w:t>”</w:t>
      </w:r>
      <w:r w:rsidRPr="008D056E">
        <w:t>的基本准则相冲突。试图为生命标价，不仅是一个技术难题，更是一个无解的伦理黑洞。</w:t>
      </w:r>
      <w:r w:rsidR="00657141">
        <w:rPr>
          <w:rFonts w:hint="eastAsia"/>
        </w:rPr>
        <w:t>[4]</w:t>
      </w:r>
    </w:p>
    <w:p w14:paraId="47A0F5BB" w14:textId="77777777" w:rsidR="008D056E" w:rsidRPr="008D056E" w:rsidRDefault="008D056E" w:rsidP="008D056E">
      <w:pPr>
        <w:ind w:firstLineChars="200" w:firstLine="420"/>
      </w:pPr>
      <w:r w:rsidRPr="008D056E">
        <w:t>其次，是深刻的正义困境。对</w:t>
      </w:r>
      <w:r w:rsidRPr="008D056E">
        <w:t>“</w:t>
      </w:r>
      <w:r w:rsidRPr="008D056E">
        <w:t>社会总效用</w:t>
      </w:r>
      <w:r w:rsidRPr="008D056E">
        <w:t>”</w:t>
      </w:r>
      <w:r w:rsidRPr="008D056E">
        <w:t>最大化的单一追求，可能导致对少数个体或特定群体的系统性不公。例如，算法可能倾向于牺牲车内乘客以保护更多的车外行人，这引发了</w:t>
      </w:r>
      <w:r w:rsidRPr="008D056E">
        <w:t>“</w:t>
      </w:r>
      <w:r w:rsidRPr="008D056E">
        <w:t>产品责任</w:t>
      </w:r>
      <w:r w:rsidRPr="008D056E">
        <w:t>”</w:t>
      </w:r>
      <w:r w:rsidRPr="008D056E">
        <w:t>与</w:t>
      </w:r>
      <w:r w:rsidRPr="008D056E">
        <w:t>“</w:t>
      </w:r>
      <w:r w:rsidRPr="008D056E">
        <w:t>公共安全</w:t>
      </w:r>
      <w:r w:rsidRPr="008D056E">
        <w:t>”</w:t>
      </w:r>
      <w:r w:rsidRPr="008D056E">
        <w:t>之间的剧烈冲突；又如，在模型训练数据存在偏见的情况下，算法可能无意识地做出对某些社会群体更不利的决策。这种为了</w:t>
      </w:r>
      <w:r w:rsidRPr="008D056E">
        <w:t>“</w:t>
      </w:r>
      <w:r w:rsidRPr="008D056E">
        <w:t>多数人利益</w:t>
      </w:r>
      <w:r w:rsidRPr="008D056E">
        <w:t>”</w:t>
      </w:r>
      <w:r w:rsidRPr="008D056E">
        <w:t>而正当化对</w:t>
      </w:r>
      <w:r w:rsidRPr="008D056E">
        <w:t>“</w:t>
      </w:r>
      <w:r w:rsidRPr="008D056E">
        <w:t>少数人</w:t>
      </w:r>
      <w:r w:rsidRPr="008D056E">
        <w:t>”</w:t>
      </w:r>
      <w:r w:rsidRPr="008D056E">
        <w:t>权利的侵害，被批评者谴责为一种</w:t>
      </w:r>
      <w:r w:rsidRPr="008D056E">
        <w:t>“</w:t>
      </w:r>
      <w:r w:rsidRPr="008D056E">
        <w:t>算法化的多数人暴政</w:t>
      </w:r>
      <w:r w:rsidRPr="008D056E">
        <w:t>”</w:t>
      </w:r>
      <w:r w:rsidRPr="008D056E">
        <w:t>，它与强调公平、权利优先的罗尔斯主义正义观背道而驰。学者们警告，这非但不能促进社会正义，反而可能通过技术系统固化乃至加剧现有的社会不平等。</w:t>
      </w:r>
    </w:p>
    <w:p w14:paraId="04FFD610" w14:textId="6D4D6001" w:rsidR="008D056E" w:rsidRPr="008D056E" w:rsidRDefault="008D056E" w:rsidP="008D056E">
      <w:pPr>
        <w:ind w:firstLineChars="200" w:firstLine="420"/>
      </w:pPr>
      <w:r w:rsidRPr="008D056E">
        <w:t>最后，是极具现实意义的接受度悖论。</w:t>
      </w:r>
      <w:r w:rsidRPr="008D056E">
        <w:t>“</w:t>
      </w:r>
      <w:r w:rsidRPr="008D056E">
        <w:t>道德机器实验</w:t>
      </w:r>
      <w:r w:rsidRPr="008D056E">
        <w:t>”</w:t>
      </w:r>
      <w:r w:rsidRPr="008D056E">
        <w:t>在揭示公众抽象偏好功利主义的同时，也暴露了一个惊人矛盾：当被问及是否愿意购买或乘坐一辆按照功利主义原则编程、可能在事故中牺牲自己以保护他人的汽车时，绝大多数受访者给出了否定的答案。这种</w:t>
      </w:r>
      <w:r w:rsidRPr="008D056E">
        <w:t>“</w:t>
      </w:r>
      <w:r w:rsidRPr="008D056E">
        <w:t>认可其原则，但拒绝其应用</w:t>
      </w:r>
      <w:r w:rsidRPr="008D056E">
        <w:t>”</w:t>
      </w:r>
      <w:r w:rsidRPr="008D056E">
        <w:t>的现象，被称为</w:t>
      </w:r>
      <w:r w:rsidRPr="008D056E">
        <w:t>“</w:t>
      </w:r>
      <w:r w:rsidRPr="008D056E">
        <w:t>社会接受度悖论</w:t>
      </w:r>
      <w:r w:rsidRPr="008D056E">
        <w:t>”</w:t>
      </w:r>
      <w:r w:rsidRPr="008D056E">
        <w:t>。它深刻地表明，公众的道德直觉是复杂且情境依赖的；人们认同作为一种社会规范的利他主义，但当自己成为潜在的代价支付者时，自利倾向和对自己权利的捍卫便会占据上风。这一悖论构成了功利主义算法商</w:t>
      </w:r>
      <w:r w:rsidRPr="008D056E">
        <w:lastRenderedPageBreak/>
        <w:t>业化和大规模应用的根本性社会心理障碍。</w:t>
      </w:r>
      <w:r w:rsidR="00635B3E" w:rsidRPr="00635B3E">
        <w:t>[5]</w:t>
      </w:r>
    </w:p>
    <w:p w14:paraId="65C3D018" w14:textId="77777777" w:rsidR="008D056E" w:rsidRPr="008D056E" w:rsidRDefault="008D056E" w:rsidP="008D056E">
      <w:pPr>
        <w:ind w:firstLineChars="200" w:firstLine="420"/>
      </w:pPr>
      <w:r w:rsidRPr="008D056E">
        <w:t>综上所述，当前的学术争议清晰地表明，尽管功利主义算法在理论层面提供了清晰的逻辑起点，并在工程实现上具有显著优势，但其在生命价值量化、个体权利保障以及社会心理接受三个层面遭遇了难以逾越的根本性质疑。这些争议共同指向一个核心结论：将自动驾驶这一牵涉生命安危的复杂社会技术系统，其伦理决策权完全托付给一个单一的、简化的功利主义计算框架，是危险且不充分的。这要求研究必须超越对单一伦理算法的技术优化，转而寻求一种能够融合多元价值、回应多重关切，并能被社会广泛审议与接受的综合治理框架。李大山提出的</w:t>
      </w:r>
      <w:r w:rsidRPr="008D056E">
        <w:t>“</w:t>
      </w:r>
      <w:r w:rsidRPr="008D056E">
        <w:t>自动驾驶无需高阶道德算法</w:t>
      </w:r>
      <w:r w:rsidRPr="008D056E">
        <w:t>”</w:t>
      </w:r>
      <w:r w:rsidRPr="008D056E">
        <w:t>观点，正是对此的一种反思，主张系统应优先确保安全规则遵守，避免陷入主动进行生命权衡的伦理绝境，这为后续的路径探索提供了重要的批判性视角。</w:t>
      </w:r>
    </w:p>
    <w:p w14:paraId="29346A32" w14:textId="77777777" w:rsidR="00AE3210" w:rsidRPr="00AE3210" w:rsidRDefault="00AE3210" w:rsidP="00AE3210">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AE3210">
        <w:rPr>
          <w:rFonts w:ascii="Segoe UI" w:eastAsia="宋体" w:hAnsi="Segoe UI" w:cs="Segoe UI"/>
          <w:b/>
          <w:bCs/>
          <w:color w:val="0F1115"/>
          <w:kern w:val="0"/>
          <w:sz w:val="30"/>
          <w:szCs w:val="30"/>
        </w:rPr>
        <w:t>三、</w:t>
      </w:r>
      <w:r w:rsidRPr="00AE3210">
        <w:rPr>
          <w:rFonts w:ascii="Segoe UI" w:eastAsia="宋体" w:hAnsi="Segoe UI" w:cs="Segoe UI"/>
          <w:b/>
          <w:bCs/>
          <w:color w:val="0F1115"/>
          <w:kern w:val="0"/>
          <w:sz w:val="30"/>
          <w:szCs w:val="30"/>
        </w:rPr>
        <w:t xml:space="preserve"> </w:t>
      </w:r>
      <w:r w:rsidRPr="00AE3210">
        <w:rPr>
          <w:rFonts w:ascii="Segoe UI" w:eastAsia="宋体" w:hAnsi="Segoe UI" w:cs="Segoe UI"/>
          <w:b/>
          <w:bCs/>
          <w:color w:val="0F1115"/>
          <w:kern w:val="0"/>
          <w:sz w:val="30"/>
          <w:szCs w:val="30"/>
        </w:rPr>
        <w:t>理论框架：功利主义的内在局限与超越路径</w:t>
      </w:r>
    </w:p>
    <w:p w14:paraId="5ADAB7AF" w14:textId="77777777" w:rsidR="00AE3210" w:rsidRPr="00AE3210" w:rsidRDefault="00AE3210" w:rsidP="00AE3210">
      <w:pPr>
        <w:ind w:firstLineChars="200" w:firstLine="420"/>
      </w:pPr>
      <w:r w:rsidRPr="00AE3210">
        <w:t>为了</w:t>
      </w:r>
      <w:proofErr w:type="gramStart"/>
      <w:r w:rsidRPr="00AE3210">
        <w:t>深入解</w:t>
      </w:r>
      <w:proofErr w:type="gramEnd"/>
      <w:r w:rsidRPr="00AE3210">
        <w:t>构功利主义框架的局限，本文构建了一个包含技术可行性、伦理正当性和社会可接受性三个维度的分析框架。</w:t>
      </w:r>
    </w:p>
    <w:p w14:paraId="13C5A545" w14:textId="77777777" w:rsidR="00AE3210" w:rsidRPr="00AE3210" w:rsidRDefault="00AE3210" w:rsidP="00AE3210">
      <w:pPr>
        <w:ind w:firstLineChars="200" w:firstLine="420"/>
      </w:pPr>
      <w:r w:rsidRPr="00AE3210">
        <w:t>技术可行性层面：功利主义要求对复杂、动态的交通场景进行即时、精确的后果预测与效用计算，这在当前技术水平下几乎不可能实现。瞬息万变的环境、不完全的信息以及难以预料的连锁反应，使得</w:t>
      </w:r>
      <w:r w:rsidRPr="00AE3210">
        <w:t>“</w:t>
      </w:r>
      <w:r w:rsidRPr="00AE3210">
        <w:t>伤亡最小化</w:t>
      </w:r>
      <w:r w:rsidRPr="00AE3210">
        <w:t>”</w:t>
      </w:r>
      <w:r w:rsidRPr="00AE3210">
        <w:t>往往只是一个理想化的目标而非可执行的指令。</w:t>
      </w:r>
    </w:p>
    <w:p w14:paraId="206202BD" w14:textId="3BE214D2" w:rsidR="00AE3210" w:rsidRPr="00AE3210" w:rsidRDefault="00AE3210" w:rsidP="00AE3210">
      <w:pPr>
        <w:ind w:firstLineChars="200" w:firstLine="420"/>
      </w:pPr>
      <w:r w:rsidRPr="00AE3210">
        <w:t>伦理正当性层面：功利主义面临着深刻的哲学批判。它忽略了行动本身的道德价值（道义论所强调的义务与权利），也忽视了行为者的道德品格（美德伦理学所关注的美德）。例如，为了拯救五人而主动牺牲一个无辜者，在道义论看来本身就是错误的，</w:t>
      </w:r>
      <w:r w:rsidRPr="00AE3210">
        <w:t xml:space="preserve"> regardless of the consequences. </w:t>
      </w:r>
      <w:r w:rsidRPr="00AE3210">
        <w:t>李大山进一步指出，自动驾驶的核心任务是成为遵守交通规则的</w:t>
      </w:r>
      <w:r w:rsidRPr="00AE3210">
        <w:t>“</w:t>
      </w:r>
      <w:r w:rsidRPr="00AE3210">
        <w:t>驾驶专家</w:t>
      </w:r>
      <w:r w:rsidRPr="00AE3210">
        <w:t>”</w:t>
      </w:r>
      <w:r w:rsidRPr="00AE3210">
        <w:t>，而非处理哲学两难的</w:t>
      </w:r>
      <w:r w:rsidRPr="00AE3210">
        <w:t>“</w:t>
      </w:r>
      <w:r w:rsidRPr="00AE3210">
        <w:t>道德哲学家</w:t>
      </w:r>
      <w:r w:rsidRPr="00AE3210">
        <w:t>”</w:t>
      </w:r>
      <w:r w:rsidRPr="00AE3210">
        <w:t>；引入功利主义等高阶道德算法，反而可能干扰其安全、高效完成基本驾驶任务。</w:t>
      </w:r>
      <w:r w:rsidR="00563169">
        <w:rPr>
          <w:rFonts w:hint="eastAsia"/>
        </w:rPr>
        <w:t>[6]</w:t>
      </w:r>
    </w:p>
    <w:p w14:paraId="6B0FC8C0" w14:textId="7DB6C0AC" w:rsidR="00AE3210" w:rsidRPr="00AE3210" w:rsidRDefault="00AE3210" w:rsidP="00AE3210">
      <w:pPr>
        <w:ind w:firstLineChars="200" w:firstLine="420"/>
      </w:pPr>
      <w:r w:rsidRPr="00AE3210">
        <w:t>社会可接受性层面：伦理决策不能脱离具体的社会文化语境。全球性的道德偏好调研显示，不同地区和文化背景的公众对伦理决策的偏好存在显著差异。强行推行一种基于单一文化伦理观的</w:t>
      </w:r>
      <w:r w:rsidRPr="00AE3210">
        <w:t>“</w:t>
      </w:r>
      <w:r w:rsidRPr="00AE3210">
        <w:t>普世算法</w:t>
      </w:r>
      <w:r w:rsidRPr="00AE3210">
        <w:t>”</w:t>
      </w:r>
      <w:r w:rsidRPr="00AE3210">
        <w:t>，不仅可能遭遇抵制，也无法通过</w:t>
      </w:r>
      <w:r w:rsidRPr="00AE3210">
        <w:t>“</w:t>
      </w:r>
      <w:r w:rsidRPr="00AE3210">
        <w:t>知情同意</w:t>
      </w:r>
      <w:r w:rsidRPr="00AE3210">
        <w:t>”</w:t>
      </w:r>
      <w:r w:rsidRPr="00AE3210">
        <w:t>的伦理检验。</w:t>
      </w:r>
      <w:r w:rsidR="00563169">
        <w:rPr>
          <w:rFonts w:hint="eastAsia"/>
        </w:rPr>
        <w:t>[7]</w:t>
      </w:r>
    </w:p>
    <w:p w14:paraId="57956183" w14:textId="77777777" w:rsidR="00AE3210" w:rsidRPr="00AE3210" w:rsidRDefault="00AE3210" w:rsidP="00AE3210">
      <w:pPr>
        <w:ind w:firstLineChars="200" w:firstLine="420"/>
      </w:pPr>
      <w:r w:rsidRPr="00AE3210">
        <w:t>基于以上分析，本文认为，自动驾驶的伦理设计必须超越单一的功利主义框架，走向一种分层、多元且</w:t>
      </w:r>
      <w:proofErr w:type="gramStart"/>
      <w:r w:rsidRPr="00AE3210">
        <w:t>可审议</w:t>
      </w:r>
      <w:proofErr w:type="gramEnd"/>
      <w:r w:rsidRPr="00AE3210">
        <w:t>的伦理架构。</w:t>
      </w:r>
    </w:p>
    <w:p w14:paraId="520E3B0F" w14:textId="77777777" w:rsidR="00CF1078" w:rsidRPr="00CF1078" w:rsidRDefault="00CF1078" w:rsidP="00CF1078">
      <w:pPr>
        <w:widowControl/>
        <w:shd w:val="clear" w:color="auto" w:fill="FFFFFF"/>
        <w:spacing w:before="480" w:after="240" w:line="450" w:lineRule="atLeast"/>
        <w:jc w:val="left"/>
        <w:outlineLvl w:val="2"/>
        <w:rPr>
          <w:rFonts w:ascii="Segoe UI" w:eastAsia="宋体" w:hAnsi="Segoe UI" w:cs="Segoe UI"/>
          <w:b/>
          <w:bCs/>
          <w:color w:val="0F1115"/>
          <w:kern w:val="0"/>
          <w:sz w:val="30"/>
          <w:szCs w:val="30"/>
        </w:rPr>
      </w:pPr>
      <w:r w:rsidRPr="00CF1078">
        <w:rPr>
          <w:rFonts w:ascii="Segoe UI" w:eastAsia="宋体" w:hAnsi="Segoe UI" w:cs="Segoe UI"/>
          <w:b/>
          <w:bCs/>
          <w:color w:val="0F1115"/>
          <w:kern w:val="0"/>
          <w:sz w:val="30"/>
          <w:szCs w:val="30"/>
        </w:rPr>
        <w:t>四、</w:t>
      </w:r>
      <w:r w:rsidRPr="00CF1078">
        <w:rPr>
          <w:rFonts w:ascii="Segoe UI" w:eastAsia="宋体" w:hAnsi="Segoe UI" w:cs="Segoe UI"/>
          <w:b/>
          <w:bCs/>
          <w:color w:val="0F1115"/>
          <w:kern w:val="0"/>
          <w:sz w:val="30"/>
          <w:szCs w:val="30"/>
        </w:rPr>
        <w:t xml:space="preserve"> </w:t>
      </w:r>
      <w:r w:rsidRPr="00CF1078">
        <w:rPr>
          <w:rFonts w:ascii="Segoe UI" w:eastAsia="宋体" w:hAnsi="Segoe UI" w:cs="Segoe UI"/>
          <w:b/>
          <w:bCs/>
          <w:color w:val="0F1115"/>
          <w:kern w:val="0"/>
          <w:sz w:val="30"/>
          <w:szCs w:val="30"/>
        </w:rPr>
        <w:t>案例分析与路径探索</w:t>
      </w:r>
    </w:p>
    <w:p w14:paraId="06FC8F2F" w14:textId="6DAA7C34" w:rsidR="00CF1078" w:rsidRPr="00CF1078" w:rsidRDefault="00CF1078" w:rsidP="00CF1078">
      <w:pPr>
        <w:ind w:firstLineChars="200" w:firstLine="420"/>
      </w:pPr>
      <w:r w:rsidRPr="00CF1078">
        <w:t>以城市交叉口多车协同的复杂场景为例，纯粹的功利主义算法可能陷入无限计算的死循环，或因匆忙决策而触发新的风险。</w:t>
      </w:r>
      <w:r>
        <w:rPr>
          <w:rFonts w:hint="eastAsia"/>
        </w:rPr>
        <w:t>[8]</w:t>
      </w:r>
      <w:r w:rsidRPr="00CF1078">
        <w:t>对此，学界和业界已提出多种替代或改良方案：</w:t>
      </w:r>
    </w:p>
    <w:p w14:paraId="220DC4A9" w14:textId="77777777" w:rsidR="00CF1078" w:rsidRPr="00CF1078" w:rsidRDefault="00CF1078" w:rsidP="00CF1078">
      <w:pPr>
        <w:tabs>
          <w:tab w:val="num" w:pos="720"/>
        </w:tabs>
        <w:ind w:firstLineChars="200" w:firstLine="420"/>
      </w:pPr>
      <w:r w:rsidRPr="00CF1078">
        <w:t>“</w:t>
      </w:r>
      <w:r w:rsidRPr="00CF1078">
        <w:t>风险规避优先</w:t>
      </w:r>
      <w:r w:rsidRPr="00CF1078">
        <w:t>”</w:t>
      </w:r>
      <w:r w:rsidRPr="00CF1078">
        <w:t>范式：东南大学研究团队提出，当系统检测到无法完全规避的碰撞风险时，优先触发紧急制动，而非进行</w:t>
      </w:r>
      <w:r w:rsidRPr="00CF1078">
        <w:t>“</w:t>
      </w:r>
      <w:r w:rsidRPr="00CF1078">
        <w:t>两害相权</w:t>
      </w:r>
      <w:r w:rsidRPr="00CF1078">
        <w:t>”</w:t>
      </w:r>
      <w:r w:rsidRPr="00CF1078">
        <w:t>的功利计算。这一方案基于非伤害原则、消极责任原则和风险分配公平性原则，旨在从源头上避免陷入生命权衡的伦理困境。</w:t>
      </w:r>
    </w:p>
    <w:p w14:paraId="053E3EEC" w14:textId="2C5D7879" w:rsidR="00CF1078" w:rsidRPr="00CF1078" w:rsidRDefault="00CF1078" w:rsidP="00CF1078">
      <w:pPr>
        <w:tabs>
          <w:tab w:val="num" w:pos="720"/>
        </w:tabs>
        <w:ind w:firstLineChars="200" w:firstLine="420"/>
      </w:pPr>
      <w:r w:rsidRPr="00CF1078">
        <w:t>伦理增强型功利主义：有研究提出</w:t>
      </w:r>
      <w:r w:rsidRPr="00CF1078">
        <w:t>“</w:t>
      </w:r>
      <w:r w:rsidRPr="00CF1078">
        <w:t>增强功利主义</w:t>
      </w:r>
      <w:r w:rsidRPr="00CF1078">
        <w:t>”</w:t>
      </w:r>
      <w:r w:rsidRPr="00CF1078">
        <w:t>（</w:t>
      </w:r>
      <w:r w:rsidRPr="00CF1078">
        <w:t>Augmented Utilitarianism</w:t>
      </w:r>
      <w:r w:rsidRPr="00CF1078">
        <w:t>），尝试在后果计算中整合道义论约束（如不得主动伤害无辜者）和美德伦理</w:t>
      </w:r>
      <w:proofErr w:type="gramStart"/>
      <w:r w:rsidRPr="00CF1078">
        <w:t>考量</w:t>
      </w:r>
      <w:proofErr w:type="gramEnd"/>
      <w:r w:rsidRPr="00CF1078">
        <w:t>，使算法决策更接近人类的复合道德直觉。</w:t>
      </w:r>
      <w:r w:rsidR="00174FEA" w:rsidRPr="00174FEA">
        <w:t>[9]</w:t>
      </w:r>
    </w:p>
    <w:p w14:paraId="400087B3" w14:textId="77777777" w:rsidR="00CF1078" w:rsidRPr="00CF1078" w:rsidRDefault="00CF1078" w:rsidP="00CF1078">
      <w:pPr>
        <w:tabs>
          <w:tab w:val="num" w:pos="720"/>
        </w:tabs>
        <w:ind w:firstLineChars="200" w:firstLine="420"/>
      </w:pPr>
      <w:r w:rsidRPr="00CF1078">
        <w:t>程序正义与治理创新：关键的转向在于，从寻求</w:t>
      </w:r>
      <w:r w:rsidRPr="00CF1078">
        <w:t>“</w:t>
      </w:r>
      <w:r w:rsidRPr="00CF1078">
        <w:t>唯一正确的道德算法</w:t>
      </w:r>
      <w:r w:rsidRPr="00CF1078">
        <w:t>”</w:t>
      </w:r>
      <w:r w:rsidRPr="00CF1078">
        <w:t>转向构建合理的伦理决策程序。这包括：</w:t>
      </w:r>
    </w:p>
    <w:p w14:paraId="6F62BF0F" w14:textId="77777777" w:rsidR="00CF1078" w:rsidRPr="00CF1078" w:rsidRDefault="00CF1078" w:rsidP="00CF1078">
      <w:pPr>
        <w:tabs>
          <w:tab w:val="num" w:pos="1440"/>
        </w:tabs>
        <w:ind w:firstLineChars="200" w:firstLine="420"/>
      </w:pPr>
      <w:r w:rsidRPr="00CF1078">
        <w:lastRenderedPageBreak/>
        <w:t>算法透明与可解释：确保决策逻辑可追溯、可审查。</w:t>
      </w:r>
    </w:p>
    <w:p w14:paraId="3A4884E8" w14:textId="77777777" w:rsidR="00CF1078" w:rsidRPr="00CF1078" w:rsidRDefault="00CF1078" w:rsidP="00CF1078">
      <w:pPr>
        <w:tabs>
          <w:tab w:val="num" w:pos="1440"/>
        </w:tabs>
        <w:ind w:firstLineChars="200" w:firstLine="420"/>
      </w:pPr>
      <w:r w:rsidRPr="00CF1078">
        <w:t>多元主体参与设计：在算法设计过程中纳入伦理学家、法律专家、工程师及公众代表，通过参与式设计嵌入社会价值。</w:t>
      </w:r>
    </w:p>
    <w:p w14:paraId="0B1F85D6" w14:textId="5FCE4937" w:rsidR="00CF1078" w:rsidRPr="00CF1078" w:rsidRDefault="00CF1078" w:rsidP="00CF1078">
      <w:pPr>
        <w:tabs>
          <w:tab w:val="num" w:pos="1440"/>
        </w:tabs>
        <w:ind w:firstLineChars="200" w:firstLine="420"/>
      </w:pPr>
      <w:r w:rsidRPr="00CF1078">
        <w:t>灵活的法律与政策框架：</w:t>
      </w:r>
      <w:r w:rsidR="00E53F13" w:rsidRPr="00E53F13">
        <w:rPr>
          <w:rFonts w:hint="eastAsia"/>
        </w:rPr>
        <w:t>不同国家由于各自不同的历史文化背景可能建立不同的伦理准则。自动驾驶伦理准则可能需要全球范围的协作。</w:t>
      </w:r>
      <w:r w:rsidRPr="00CF1078">
        <w:t>中国最新发布的《驾驶自动化技术研发伦理指引》体现了这一思路，它确立了以人为本、安全优先、公平公正等基本原则，并为不同类型自动驾驶系统明确了责任主体，为技术伦理提供了柔性监管框架。</w:t>
      </w:r>
      <w:r w:rsidR="00E53F13">
        <w:rPr>
          <w:rFonts w:hint="eastAsia"/>
        </w:rPr>
        <w:t>[10]</w:t>
      </w:r>
    </w:p>
    <w:p w14:paraId="607D07B8" w14:textId="77777777" w:rsidR="00060656" w:rsidRPr="00060656" w:rsidRDefault="00060656" w:rsidP="00060656">
      <w:pPr>
        <w:widowControl/>
        <w:shd w:val="clear" w:color="auto" w:fill="FFFFFF"/>
        <w:spacing w:after="240" w:line="480" w:lineRule="atLeast"/>
        <w:jc w:val="left"/>
        <w:outlineLvl w:val="1"/>
        <w:rPr>
          <w:rFonts w:ascii="Segoe UI" w:eastAsia="宋体" w:hAnsi="Segoe UI" w:cs="Segoe UI"/>
          <w:b/>
          <w:bCs/>
          <w:color w:val="0F1115"/>
          <w:kern w:val="0"/>
          <w:sz w:val="33"/>
          <w:szCs w:val="33"/>
        </w:rPr>
      </w:pPr>
      <w:r w:rsidRPr="00060656">
        <w:rPr>
          <w:rFonts w:ascii="Segoe UI" w:eastAsia="宋体" w:hAnsi="Segoe UI" w:cs="Segoe UI"/>
          <w:b/>
          <w:bCs/>
          <w:color w:val="0F1115"/>
          <w:kern w:val="0"/>
          <w:sz w:val="33"/>
          <w:szCs w:val="33"/>
        </w:rPr>
        <w:t>五、</w:t>
      </w:r>
      <w:r w:rsidRPr="00060656">
        <w:rPr>
          <w:rFonts w:ascii="Segoe UI" w:eastAsia="宋体" w:hAnsi="Segoe UI" w:cs="Segoe UI"/>
          <w:b/>
          <w:bCs/>
          <w:color w:val="0F1115"/>
          <w:kern w:val="0"/>
          <w:sz w:val="33"/>
          <w:szCs w:val="33"/>
        </w:rPr>
        <w:t xml:space="preserve"> </w:t>
      </w:r>
      <w:r w:rsidRPr="00060656">
        <w:rPr>
          <w:rFonts w:ascii="Segoe UI" w:eastAsia="宋体" w:hAnsi="Segoe UI" w:cs="Segoe UI"/>
          <w:b/>
          <w:bCs/>
          <w:color w:val="0F1115"/>
          <w:kern w:val="0"/>
          <w:sz w:val="33"/>
          <w:szCs w:val="33"/>
        </w:rPr>
        <w:t>结论与展望</w:t>
      </w:r>
    </w:p>
    <w:p w14:paraId="379E0D6A" w14:textId="38CBDD95" w:rsidR="00060656" w:rsidRPr="00060656" w:rsidRDefault="00060656" w:rsidP="00060656">
      <w:pPr>
        <w:tabs>
          <w:tab w:val="num" w:pos="1440"/>
        </w:tabs>
        <w:ind w:firstLineChars="200" w:firstLine="420"/>
      </w:pPr>
      <w:r w:rsidRPr="00060656">
        <w:t>自动驾驶系统中的</w:t>
      </w:r>
      <w:r w:rsidRPr="00060656">
        <w:t>“</w:t>
      </w:r>
      <w:r w:rsidRPr="00060656">
        <w:t>道德机器</w:t>
      </w:r>
      <w:r w:rsidRPr="00060656">
        <w:t>”</w:t>
      </w:r>
      <w:r w:rsidRPr="00060656">
        <w:t>困境，深刻揭示了将人类复杂的道德直觉转化为确定性算法的根本性张力。功利主义伦理框架以其明确的后果论取向和可计算性，为极端情境下的算法决策提供了重要的基准与启发，然而其在生命价值量化、个体权利保障与社会信任构建方面的内在缺陷，使其难以独立承载自动驾驶伦理决策的全部重任。这一困境并非单纯的技术难题，而是技术理性在面对价值理性时的必然碰撞，它要求我们超越对单一伦理算法的执着，转向一种更为系统、动态且具包容性的应对思路。</w:t>
      </w:r>
      <w:r>
        <w:rPr>
          <w:rFonts w:hint="eastAsia"/>
        </w:rPr>
        <w:t>[11]</w:t>
      </w:r>
    </w:p>
    <w:p w14:paraId="457560BE" w14:textId="77777777" w:rsidR="00060656" w:rsidRPr="00060656" w:rsidRDefault="00060656" w:rsidP="00060656">
      <w:pPr>
        <w:tabs>
          <w:tab w:val="num" w:pos="1440"/>
        </w:tabs>
        <w:ind w:firstLineChars="200" w:firstLine="420"/>
      </w:pPr>
      <w:r w:rsidRPr="00060656">
        <w:t>未来自动驾驶伦理的实现，有赖于构建一个深度融合伦理</w:t>
      </w:r>
      <w:proofErr w:type="gramStart"/>
      <w:r w:rsidRPr="00060656">
        <w:t>考量</w:t>
      </w:r>
      <w:proofErr w:type="gramEnd"/>
      <w:r w:rsidRPr="00060656">
        <w:t>、技术创新与制度设计的协同框架。在伦理层面，应摒弃任何单一的道德学说垄断，转而采纳一种融合后果</w:t>
      </w:r>
      <w:proofErr w:type="gramStart"/>
      <w:r w:rsidRPr="00060656">
        <w:t>考量</w:t>
      </w:r>
      <w:proofErr w:type="gramEnd"/>
      <w:r w:rsidRPr="00060656">
        <w:t>、义务约束与美德关切的复合视角，发展能够理解具体交通情境与社会规范的决策模型。这要求技术研发不仅关注</w:t>
      </w:r>
      <w:r w:rsidRPr="00060656">
        <w:t>“</w:t>
      </w:r>
      <w:r w:rsidRPr="00060656">
        <w:t>如何计算</w:t>
      </w:r>
      <w:r w:rsidRPr="00060656">
        <w:t>”</w:t>
      </w:r>
      <w:r w:rsidRPr="00060656">
        <w:t>，更要反思</w:t>
      </w:r>
      <w:r w:rsidRPr="00060656">
        <w:t>“</w:t>
      </w:r>
      <w:r w:rsidRPr="00060656">
        <w:t>应当计算什么</w:t>
      </w:r>
      <w:r w:rsidRPr="00060656">
        <w:t>”</w:t>
      </w:r>
      <w:r w:rsidRPr="00060656">
        <w:t>。在技术实现上，核心任务在于将抽象的伦理原则转化为可嵌入系统架构、可验证乃至可审计的数学约束与安全规范，并始终将技术的根本目标定位于通过完善的感知、预测与规划能力，最大限度地预防与规避道德困境的发生，而非仅仅在困境中做出选择。正如学者李大山所指出的，自动驾驶系统的首要伦理责任是成为严格遵守交通规则、尽最大努力避免事故的</w:t>
      </w:r>
      <w:r w:rsidRPr="00060656">
        <w:t>“</w:t>
      </w:r>
      <w:r w:rsidRPr="00060656">
        <w:t>模范司机</w:t>
      </w:r>
      <w:r w:rsidRPr="00060656">
        <w:t>”</w:t>
      </w:r>
      <w:r w:rsidRPr="00060656">
        <w:t>，而非在预设的</w:t>
      </w:r>
      <w:r w:rsidRPr="00060656">
        <w:t>“</w:t>
      </w:r>
      <w:r w:rsidRPr="00060656">
        <w:t>电车难题</w:t>
      </w:r>
      <w:r w:rsidRPr="00060656">
        <w:t>”</w:t>
      </w:r>
      <w:r w:rsidRPr="00060656">
        <w:t>中扮演进行生命权衡的</w:t>
      </w:r>
      <w:r w:rsidRPr="00060656">
        <w:t>“</w:t>
      </w:r>
      <w:r w:rsidRPr="00060656">
        <w:t>道德哲学家</w:t>
      </w:r>
      <w:r w:rsidRPr="00060656">
        <w:t>”</w:t>
      </w:r>
      <w:r w:rsidRPr="00060656">
        <w:t>。这种将高阶道德判断转化为低</w:t>
      </w:r>
      <w:proofErr w:type="gramStart"/>
      <w:r w:rsidRPr="00060656">
        <w:t>阶安全</w:t>
      </w:r>
      <w:proofErr w:type="gramEnd"/>
      <w:r w:rsidRPr="00060656">
        <w:t>规范的技术路径，为破解算法伦理困境提供了颇具启发的实践方向。</w:t>
      </w:r>
    </w:p>
    <w:p w14:paraId="430D2C92" w14:textId="77777777" w:rsidR="00060656" w:rsidRPr="00060656" w:rsidRDefault="00060656" w:rsidP="00060656">
      <w:pPr>
        <w:tabs>
          <w:tab w:val="num" w:pos="1440"/>
        </w:tabs>
        <w:ind w:firstLineChars="200" w:firstLine="420"/>
      </w:pPr>
      <w:r w:rsidRPr="00060656">
        <w:t>与此同时，必须通过有效的治理架构为伦理与技术的结合提供制度保障。这包括建立贯穿研发、测试与</w:t>
      </w:r>
      <w:proofErr w:type="gramStart"/>
      <w:r w:rsidRPr="00060656">
        <w:t>部署全</w:t>
      </w:r>
      <w:proofErr w:type="gramEnd"/>
      <w:r w:rsidRPr="00060656">
        <w:t>过程的算法透明与问责机制，使系统的关键决策逻辑可追溯、可解释、可质疑；搭建开放、多元的社会审议平台，让技术专家、伦理学者、法律工作者、潜在用户及公众代表能够共同参与标准制定与规则形成；最终推动形成与之适配的法律与政策体系，明确在复杂事故中的责任归属，为技术创新划定清晰的</w:t>
      </w:r>
      <w:r w:rsidRPr="00060656">
        <w:t>“</w:t>
      </w:r>
      <w:r w:rsidRPr="00060656">
        <w:t>安全港</w:t>
      </w:r>
      <w:r w:rsidRPr="00060656">
        <w:t>”</w:t>
      </w:r>
      <w:r w:rsidRPr="00060656">
        <w:t>与</w:t>
      </w:r>
      <w:r w:rsidRPr="00060656">
        <w:t>“</w:t>
      </w:r>
      <w:r w:rsidRPr="00060656">
        <w:t>红线</w:t>
      </w:r>
      <w:r w:rsidRPr="00060656">
        <w:t>”</w:t>
      </w:r>
      <w:r w:rsidRPr="00060656">
        <w:t>。唯有通过技术理性、价值理性与社会治理理性的持续对话与共同演进，自动驾驶技术才能真正跨越伦理信任的鸿沟，驶向一个不仅智能高效，而且安全、公正、值得人类托付的未来。</w:t>
      </w:r>
    </w:p>
    <w:p w14:paraId="3CF42811" w14:textId="77777777" w:rsidR="009A6FBE" w:rsidRPr="00060656" w:rsidRDefault="009A6FBE" w:rsidP="008D056E">
      <w:pPr>
        <w:pStyle w:val="1"/>
      </w:pPr>
    </w:p>
    <w:p w14:paraId="2FBCAD57" w14:textId="77777777" w:rsidR="009A6FBE" w:rsidRDefault="009A6FBE">
      <w:pPr>
        <w:spacing w:beforeLines="50" w:before="156" w:afterLines="50" w:after="156" w:line="360" w:lineRule="auto"/>
        <w:ind w:firstLineChars="300" w:firstLine="960"/>
        <w:jc w:val="center"/>
        <w:rPr>
          <w:rFonts w:ascii="黑体" w:eastAsia="黑体" w:hAnsi="黑体" w:cs="黑体" w:hint="eastAsia"/>
          <w:bCs/>
          <w:sz w:val="32"/>
          <w:szCs w:val="32"/>
        </w:rPr>
      </w:pPr>
    </w:p>
    <w:p w14:paraId="2284D093" w14:textId="77777777" w:rsidR="009A6FBE" w:rsidRDefault="009A6FBE">
      <w:pPr>
        <w:spacing w:beforeLines="50" w:before="156" w:afterLines="50" w:after="156" w:line="360" w:lineRule="auto"/>
        <w:ind w:firstLineChars="300" w:firstLine="960"/>
        <w:jc w:val="center"/>
        <w:rPr>
          <w:rFonts w:ascii="黑体" w:eastAsia="黑体" w:hAnsi="黑体" w:cs="黑体" w:hint="eastAsia"/>
          <w:bCs/>
          <w:sz w:val="32"/>
          <w:szCs w:val="32"/>
        </w:rPr>
      </w:pPr>
    </w:p>
    <w:p w14:paraId="44592A8E" w14:textId="77777777" w:rsidR="0066479D" w:rsidRDefault="0066479D" w:rsidP="00CF1078">
      <w:pPr>
        <w:spacing w:beforeLines="50" w:before="156" w:afterLines="50" w:after="156" w:line="360" w:lineRule="auto"/>
        <w:rPr>
          <w:rFonts w:ascii="黑体" w:eastAsia="黑体" w:hAnsi="黑体" w:cs="黑体" w:hint="eastAsia"/>
          <w:bCs/>
          <w:sz w:val="32"/>
          <w:szCs w:val="32"/>
        </w:rPr>
      </w:pPr>
    </w:p>
    <w:p w14:paraId="53C10BD2" w14:textId="4CCDE535" w:rsidR="0066479D" w:rsidRDefault="0066479D" w:rsidP="0066479D">
      <w:pPr>
        <w:pStyle w:val="2"/>
      </w:pPr>
      <w:bookmarkStart w:id="0" w:name="_引用文献"/>
      <w:bookmarkEnd w:id="0"/>
      <w:r>
        <w:rPr>
          <w:rFonts w:hint="eastAsia"/>
        </w:rPr>
        <w:lastRenderedPageBreak/>
        <w:t>引用文献</w:t>
      </w:r>
    </w:p>
    <w:p w14:paraId="569A0D68" w14:textId="6E9BBA48" w:rsidR="0066479D" w:rsidRPr="0066479D" w:rsidRDefault="0066479D" w:rsidP="0066479D">
      <w:r>
        <w:rPr>
          <w:rFonts w:hint="eastAsia"/>
        </w:rPr>
        <w:t>[1]</w:t>
      </w:r>
      <w:r w:rsidRPr="0066479D">
        <w:t>《人工智能伦理北京共识》</w:t>
      </w:r>
      <w:r w:rsidR="008D056E">
        <w:rPr>
          <w:rFonts w:hint="eastAsia"/>
        </w:rPr>
        <w:t>。</w:t>
      </w:r>
      <w:r w:rsidR="008D056E" w:rsidRPr="008D056E">
        <w:rPr>
          <w:rFonts w:hint="eastAsia"/>
        </w:rPr>
        <w:t>北京智源人工智能研究院</w:t>
      </w:r>
      <w:r w:rsidR="008D056E">
        <w:rPr>
          <w:rFonts w:hint="eastAsia"/>
        </w:rPr>
        <w:t>，</w:t>
      </w:r>
      <w:r w:rsidRPr="0066479D">
        <w:t>2019</w:t>
      </w:r>
      <w:r w:rsidR="008D056E">
        <w:rPr>
          <w:rFonts w:hint="eastAsia"/>
        </w:rPr>
        <w:t>-5-25</w:t>
      </w:r>
    </w:p>
    <w:p w14:paraId="29391E85" w14:textId="67464368" w:rsidR="0066479D" w:rsidRPr="008D056E" w:rsidRDefault="0066479D" w:rsidP="0066479D">
      <w:r>
        <w:rPr>
          <w:rFonts w:hint="eastAsia"/>
        </w:rPr>
        <w:t>[2]</w:t>
      </w:r>
      <w:r w:rsidR="00635B3E">
        <w:rPr>
          <w:rFonts w:hint="eastAsia"/>
        </w:rPr>
        <w:t xml:space="preserve"> </w:t>
      </w:r>
      <w:r w:rsidRPr="0066479D">
        <w:t>Ethics guidelines for trustworthy AI</w:t>
      </w:r>
      <w:r w:rsidR="008D056E">
        <w:rPr>
          <w:rFonts w:hint="eastAsia"/>
        </w:rPr>
        <w:t>。</w:t>
      </w:r>
      <w:r w:rsidR="008D056E" w:rsidRPr="008D056E">
        <w:t>European Union</w:t>
      </w:r>
      <w:r w:rsidR="008D056E">
        <w:rPr>
          <w:rFonts w:hint="eastAsia"/>
        </w:rPr>
        <w:t>，</w:t>
      </w:r>
      <w:r w:rsidR="008D056E">
        <w:rPr>
          <w:rFonts w:hint="eastAsia"/>
        </w:rPr>
        <w:t>2019-4-8.</w:t>
      </w:r>
    </w:p>
    <w:p w14:paraId="45ABF037" w14:textId="0D94D250" w:rsidR="008D056E" w:rsidRDefault="008D056E" w:rsidP="0066479D">
      <w:r>
        <w:rPr>
          <w:rFonts w:hint="eastAsia"/>
        </w:rPr>
        <w:t>[3]</w:t>
      </w:r>
      <w:r w:rsidR="00635B3E">
        <w:rPr>
          <w:rFonts w:hint="eastAsia"/>
        </w:rPr>
        <w:t xml:space="preserve"> </w:t>
      </w:r>
      <w:r w:rsidRPr="008D056E">
        <w:rPr>
          <w:rFonts w:hint="eastAsia"/>
        </w:rPr>
        <w:t>自动驾驶技术的伦理认同与社会化应用治理。中国社会科学网，</w:t>
      </w:r>
      <w:r w:rsidRPr="008D056E">
        <w:rPr>
          <w:rFonts w:hint="eastAsia"/>
        </w:rPr>
        <w:t xml:space="preserve"> 2025-07-11.</w:t>
      </w:r>
    </w:p>
    <w:p w14:paraId="28EE7D0E" w14:textId="2154FF43" w:rsidR="00657141" w:rsidRPr="00563169" w:rsidRDefault="00657141" w:rsidP="00657141">
      <w:r>
        <w:rPr>
          <w:rFonts w:hint="eastAsia"/>
        </w:rPr>
        <w:t>[4]</w:t>
      </w:r>
      <w:r w:rsidR="00635B3E">
        <w:rPr>
          <w:rFonts w:hint="eastAsia"/>
        </w:rPr>
        <w:t xml:space="preserve"> </w:t>
      </w:r>
      <w:r w:rsidRPr="00657141">
        <w:rPr>
          <w:rFonts w:hint="eastAsia"/>
        </w:rPr>
        <w:t>袁佩君</w:t>
      </w:r>
      <w:r w:rsidRPr="00657141">
        <w:rPr>
          <w:rFonts w:hint="eastAsia"/>
        </w:rPr>
        <w:t xml:space="preserve">. </w:t>
      </w:r>
      <w:r w:rsidRPr="00657141">
        <w:rPr>
          <w:rFonts w:hint="eastAsia"/>
        </w:rPr>
        <w:t>自动驾驶“电车难题”的刑法规制路径</w:t>
      </w:r>
      <w:r w:rsidRPr="00657141">
        <w:rPr>
          <w:rFonts w:hint="eastAsia"/>
        </w:rPr>
        <w:t xml:space="preserve">[J]. </w:t>
      </w:r>
      <w:r w:rsidRPr="00657141">
        <w:rPr>
          <w:rFonts w:hint="eastAsia"/>
        </w:rPr>
        <w:t>北京理工大学学报（社会科学版）</w:t>
      </w:r>
      <w:r w:rsidRPr="00657141">
        <w:rPr>
          <w:rFonts w:hint="eastAsia"/>
        </w:rPr>
        <w:t>, 2024, 26(2): 125-135. DOI: 10.15918/</w:t>
      </w:r>
      <w:proofErr w:type="gramStart"/>
      <w:r w:rsidRPr="00657141">
        <w:rPr>
          <w:rFonts w:hint="eastAsia"/>
        </w:rPr>
        <w:t>j.jbitss</w:t>
      </w:r>
      <w:proofErr w:type="gramEnd"/>
      <w:r w:rsidRPr="00657141">
        <w:rPr>
          <w:rFonts w:hint="eastAsia"/>
        </w:rPr>
        <w:t>1009-3370.2023.1461</w:t>
      </w:r>
    </w:p>
    <w:p w14:paraId="6D0C7333" w14:textId="34F12E55" w:rsidR="00635B3E" w:rsidRPr="00635B3E" w:rsidRDefault="00635B3E" w:rsidP="00635B3E">
      <w:bookmarkStart w:id="1" w:name="_Hlk217673456"/>
      <w:r>
        <w:rPr>
          <w:rFonts w:hint="eastAsia"/>
        </w:rPr>
        <w:t>[5]</w:t>
      </w:r>
      <w:bookmarkEnd w:id="1"/>
      <w:r>
        <w:rPr>
          <w:rFonts w:hint="eastAsia"/>
        </w:rPr>
        <w:t xml:space="preserve"> </w:t>
      </w:r>
      <w:r w:rsidRPr="00635B3E">
        <w:rPr>
          <w:rFonts w:hint="eastAsia"/>
        </w:rPr>
        <w:t>自动驾驶技术的伦理认同与社会化应用治理</w:t>
      </w:r>
      <w:r>
        <w:rPr>
          <w:rFonts w:hint="eastAsia"/>
        </w:rPr>
        <w:t>。</w:t>
      </w:r>
      <w:r w:rsidRPr="00635B3E">
        <w:rPr>
          <w:rFonts w:hint="eastAsia"/>
        </w:rPr>
        <w:t>中国社会科学网</w:t>
      </w:r>
      <w:r>
        <w:rPr>
          <w:rFonts w:hint="eastAsia"/>
        </w:rPr>
        <w:t xml:space="preserve">, </w:t>
      </w:r>
      <w:r w:rsidRPr="00635B3E">
        <w:rPr>
          <w:rFonts w:hint="eastAsia"/>
        </w:rPr>
        <w:t>2025-07-11</w:t>
      </w:r>
      <w:r>
        <w:rPr>
          <w:rFonts w:hint="eastAsia"/>
        </w:rPr>
        <w:t>.</w:t>
      </w:r>
    </w:p>
    <w:p w14:paraId="3A88A259" w14:textId="0DBEC852" w:rsidR="00657141" w:rsidRPr="00635B3E" w:rsidRDefault="00563169" w:rsidP="0066479D">
      <w:r>
        <w:rPr>
          <w:rFonts w:hint="eastAsia"/>
        </w:rPr>
        <w:t xml:space="preserve">[6] </w:t>
      </w:r>
      <w:r w:rsidRPr="00563169">
        <w:t>李大山</w:t>
      </w:r>
      <w:r>
        <w:rPr>
          <w:rFonts w:hint="eastAsia"/>
        </w:rPr>
        <w:t xml:space="preserve">. </w:t>
      </w:r>
      <w:r w:rsidRPr="00563169">
        <w:t>自动驾驶无需高阶道德算法</w:t>
      </w:r>
      <w:r>
        <w:rPr>
          <w:rFonts w:hint="eastAsia"/>
        </w:rPr>
        <w:t xml:space="preserve">. </w:t>
      </w:r>
      <w:r w:rsidRPr="00563169">
        <w:rPr>
          <w:rFonts w:hint="eastAsia"/>
        </w:rPr>
        <w:t>自然辩证法通讯</w:t>
      </w:r>
      <w:r>
        <w:rPr>
          <w:rFonts w:hint="eastAsia"/>
        </w:rPr>
        <w:t xml:space="preserve"> , 2023,</w:t>
      </w:r>
      <w:r w:rsidRPr="00563169">
        <w:t xml:space="preserve"> DOI: 10.15994/j.1000-0763.2023.06.002</w:t>
      </w:r>
    </w:p>
    <w:p w14:paraId="64BEA002" w14:textId="6CD7FDA9" w:rsidR="008D056E" w:rsidRDefault="00563169" w:rsidP="0066479D">
      <w:r>
        <w:rPr>
          <w:rFonts w:hint="eastAsia"/>
        </w:rPr>
        <w:t xml:space="preserve">[7] </w:t>
      </w:r>
      <w:r w:rsidR="00974B96" w:rsidRPr="00974B96">
        <w:rPr>
          <w:rFonts w:hint="eastAsia"/>
        </w:rPr>
        <w:t>刘垠</w:t>
      </w:r>
      <w:r w:rsidR="00974B96" w:rsidRPr="00974B96">
        <w:rPr>
          <w:rFonts w:hint="eastAsia"/>
        </w:rPr>
        <w:t xml:space="preserve">. </w:t>
      </w:r>
      <w:r w:rsidR="00974B96" w:rsidRPr="00974B96">
        <w:rPr>
          <w:rFonts w:hint="eastAsia"/>
        </w:rPr>
        <w:t>把好駕駛自</w:t>
      </w:r>
      <w:proofErr w:type="gramStart"/>
      <w:r w:rsidR="00974B96" w:rsidRPr="00974B96">
        <w:rPr>
          <w:rFonts w:hint="eastAsia"/>
        </w:rPr>
        <w:t>動</w:t>
      </w:r>
      <w:proofErr w:type="gramEnd"/>
      <w:r w:rsidR="00974B96" w:rsidRPr="00974B96">
        <w:rPr>
          <w:rFonts w:hint="eastAsia"/>
        </w:rPr>
        <w:t>化的倫理“方向盤”——解读《驾驶自动化技术研发伦理指引》。《科技日报》，</w:t>
      </w:r>
      <w:r w:rsidR="00974B96" w:rsidRPr="00974B96">
        <w:rPr>
          <w:rFonts w:hint="eastAsia"/>
        </w:rPr>
        <w:t>2025-07-24.</w:t>
      </w:r>
    </w:p>
    <w:p w14:paraId="11EF1C91" w14:textId="6A916CDA" w:rsidR="00CF1078" w:rsidRPr="00563169" w:rsidRDefault="00CF1078" w:rsidP="0066479D">
      <w:r>
        <w:rPr>
          <w:rFonts w:hint="eastAsia"/>
        </w:rPr>
        <w:t>[8]</w:t>
      </w:r>
      <w:r w:rsidRPr="00CF1078">
        <w:rPr>
          <w:rFonts w:ascii="Segoe UI" w:hAnsi="Segoe UI" w:cs="Segoe UI"/>
          <w:b/>
          <w:bCs/>
          <w:color w:val="0F1115"/>
          <w:shd w:val="clear" w:color="auto" w:fill="FFFFFF"/>
        </w:rPr>
        <w:t xml:space="preserve"> </w:t>
      </w:r>
      <w:r w:rsidRPr="00CF1078">
        <w:t>交通信息与安全（期刊）</w:t>
      </w:r>
      <w:r w:rsidRPr="00CF1078">
        <w:t xml:space="preserve">. 2025, 43(1): </w:t>
      </w:r>
      <w:r w:rsidRPr="00CF1078">
        <w:t>摘要</w:t>
      </w:r>
      <w:r w:rsidRPr="00CF1078">
        <w:t>.</w:t>
      </w:r>
    </w:p>
    <w:p w14:paraId="30A28B9A" w14:textId="33473E7B" w:rsidR="0066479D" w:rsidRDefault="00174FEA" w:rsidP="0066479D">
      <w:bookmarkStart w:id="2" w:name="_Hlk217743662"/>
      <w:r>
        <w:rPr>
          <w:rFonts w:hint="eastAsia"/>
        </w:rPr>
        <w:t>[9]</w:t>
      </w:r>
      <w:bookmarkEnd w:id="2"/>
      <w:r w:rsidRPr="00174FEA">
        <w:rPr>
          <w:rFonts w:ascii="微软雅黑" w:eastAsia="微软雅黑" w:hAnsi="微软雅黑" w:hint="eastAsia"/>
          <w:color w:val="333333"/>
          <w:szCs w:val="21"/>
          <w:shd w:val="clear" w:color="auto" w:fill="FFFFFF"/>
        </w:rPr>
        <w:t xml:space="preserve"> </w:t>
      </w:r>
      <w:r w:rsidRPr="00174FEA">
        <w:rPr>
          <w:rFonts w:hint="eastAsia"/>
        </w:rPr>
        <w:t>闫坤如</w:t>
      </w:r>
      <w:r w:rsidRPr="00174FEA">
        <w:rPr>
          <w:rFonts w:hint="eastAsia"/>
        </w:rPr>
        <w:t>,</w:t>
      </w:r>
      <w:r w:rsidRPr="00174FEA">
        <w:rPr>
          <w:rFonts w:hint="eastAsia"/>
        </w:rPr>
        <w:t>张楠</w:t>
      </w:r>
      <w:r w:rsidRPr="00174FEA">
        <w:rPr>
          <w:rFonts w:hint="eastAsia"/>
        </w:rPr>
        <w:t>.</w:t>
      </w:r>
      <w:r w:rsidRPr="00174FEA">
        <w:rPr>
          <w:rFonts w:hint="eastAsia"/>
        </w:rPr>
        <w:t>智能驾驶技术的道德困境及其消解路径</w:t>
      </w:r>
      <w:r w:rsidRPr="00174FEA">
        <w:rPr>
          <w:rFonts w:hint="eastAsia"/>
        </w:rPr>
        <w:t>.</w:t>
      </w:r>
      <w:r w:rsidRPr="00174FEA">
        <w:rPr>
          <w:rFonts w:hint="eastAsia"/>
        </w:rPr>
        <w:t>阅江学刊</w:t>
      </w:r>
      <w:r w:rsidRPr="00174FEA">
        <w:rPr>
          <w:rFonts w:hint="eastAsia"/>
        </w:rPr>
        <w:t>,2025(3).[PSSXiv:202506.00074V1]</w:t>
      </w:r>
    </w:p>
    <w:p w14:paraId="58C65537" w14:textId="0CD159AD" w:rsidR="00E53F13" w:rsidRDefault="00E53F13" w:rsidP="0066479D">
      <w:r>
        <w:rPr>
          <w:rFonts w:hint="eastAsia"/>
        </w:rPr>
        <w:t>[10]</w:t>
      </w:r>
      <w:r w:rsidRPr="00E53F13">
        <w:rPr>
          <w:rFonts w:ascii="Segoe UI" w:hAnsi="Segoe UI" w:cs="Segoe UI"/>
          <w:b/>
          <w:bCs/>
          <w:color w:val="0F1115"/>
          <w:shd w:val="clear" w:color="auto" w:fill="FFFFFF"/>
        </w:rPr>
        <w:t xml:space="preserve"> </w:t>
      </w:r>
      <w:r w:rsidRPr="00E53F13">
        <w:t>自动驾驶产业发展中的责任分配与伦理风险分析（硕士学位论文）。清华大学，</w:t>
      </w:r>
      <w:r w:rsidRPr="00E53F13">
        <w:t xml:space="preserve"> 2020.</w:t>
      </w:r>
    </w:p>
    <w:p w14:paraId="3C8A34BD" w14:textId="116CB788" w:rsidR="005028C6" w:rsidRPr="0066479D" w:rsidRDefault="005028C6" w:rsidP="0066479D">
      <w:r>
        <w:rPr>
          <w:rFonts w:hint="eastAsia"/>
        </w:rPr>
        <w:t>[11]</w:t>
      </w:r>
      <w:r w:rsidRPr="005028C6">
        <w:rPr>
          <w:rFonts w:ascii="Segoe UI" w:hAnsi="Segoe UI" w:cs="Segoe UI"/>
          <w:color w:val="0F1115"/>
          <w:shd w:val="clear" w:color="auto" w:fill="FFFFFF"/>
        </w:rPr>
        <w:t xml:space="preserve"> </w:t>
      </w:r>
      <w:r w:rsidRPr="005028C6">
        <w:t>佚名</w:t>
      </w:r>
      <w:r w:rsidRPr="005028C6">
        <w:t xml:space="preserve">. </w:t>
      </w:r>
      <w:r w:rsidRPr="005028C6">
        <w:t>科技伦理嵌入人工智能治理体系的路径展开</w:t>
      </w:r>
      <w:r w:rsidRPr="005028C6">
        <w:t>——</w:t>
      </w:r>
      <w:r w:rsidRPr="005028C6">
        <w:t>以自动驾驶应用场景为例</w:t>
      </w:r>
      <w:r w:rsidRPr="005028C6">
        <w:t xml:space="preserve">[J]. </w:t>
      </w:r>
      <w:r w:rsidRPr="005028C6">
        <w:t>法治社会，</w:t>
      </w:r>
      <w:r w:rsidRPr="005028C6">
        <w:t xml:space="preserve"> 2024(5).</w:t>
      </w:r>
    </w:p>
    <w:p w14:paraId="0AD472FE" w14:textId="77777777" w:rsidR="0066479D" w:rsidRDefault="0066479D">
      <w:pPr>
        <w:spacing w:beforeLines="50" w:before="156" w:afterLines="50" w:after="156" w:line="360" w:lineRule="auto"/>
        <w:ind w:firstLineChars="300" w:firstLine="960"/>
        <w:jc w:val="center"/>
        <w:rPr>
          <w:rFonts w:ascii="黑体" w:eastAsia="黑体" w:hAnsi="黑体" w:cs="黑体" w:hint="eastAsia"/>
          <w:bCs/>
          <w:sz w:val="32"/>
          <w:szCs w:val="32"/>
        </w:rPr>
      </w:pPr>
    </w:p>
    <w:p w14:paraId="6C10F598" w14:textId="77777777" w:rsidR="0066479D" w:rsidRDefault="0066479D">
      <w:pPr>
        <w:spacing w:beforeLines="50" w:before="156" w:afterLines="50" w:after="156" w:line="360" w:lineRule="auto"/>
        <w:ind w:firstLineChars="300" w:firstLine="960"/>
        <w:jc w:val="center"/>
        <w:rPr>
          <w:rFonts w:ascii="黑体" w:eastAsia="黑体" w:hAnsi="黑体" w:cs="黑体" w:hint="eastAsia"/>
          <w:bCs/>
          <w:sz w:val="32"/>
          <w:szCs w:val="32"/>
        </w:rPr>
      </w:pPr>
    </w:p>
    <w:p w14:paraId="6BBB9850" w14:textId="77777777" w:rsidR="0066479D" w:rsidRDefault="0066479D">
      <w:pPr>
        <w:spacing w:beforeLines="50" w:before="156" w:afterLines="50" w:after="156" w:line="360" w:lineRule="auto"/>
        <w:ind w:firstLineChars="300" w:firstLine="960"/>
        <w:jc w:val="center"/>
        <w:rPr>
          <w:rFonts w:ascii="黑体" w:eastAsia="黑体" w:hAnsi="黑体" w:cs="黑体" w:hint="eastAsia"/>
          <w:bCs/>
          <w:sz w:val="32"/>
          <w:szCs w:val="32"/>
        </w:rPr>
      </w:pPr>
    </w:p>
    <w:p w14:paraId="23474564" w14:textId="77777777" w:rsidR="0066479D" w:rsidRDefault="0066479D">
      <w:pPr>
        <w:spacing w:beforeLines="50" w:before="156" w:afterLines="50" w:after="156" w:line="360" w:lineRule="auto"/>
        <w:ind w:firstLineChars="300" w:firstLine="960"/>
        <w:jc w:val="center"/>
        <w:rPr>
          <w:rFonts w:ascii="黑体" w:eastAsia="黑体" w:hAnsi="黑体" w:cs="黑体" w:hint="eastAsia"/>
          <w:bCs/>
          <w:sz w:val="32"/>
          <w:szCs w:val="32"/>
        </w:rPr>
      </w:pPr>
    </w:p>
    <w:p w14:paraId="5D7C0099" w14:textId="77777777" w:rsidR="0066479D" w:rsidRDefault="0066479D">
      <w:pPr>
        <w:spacing w:beforeLines="50" w:before="156" w:afterLines="50" w:after="156" w:line="360" w:lineRule="auto"/>
        <w:ind w:firstLineChars="300" w:firstLine="960"/>
        <w:jc w:val="center"/>
        <w:rPr>
          <w:rFonts w:ascii="黑体" w:eastAsia="黑体" w:hAnsi="黑体" w:cs="黑体" w:hint="eastAsia"/>
          <w:bCs/>
          <w:sz w:val="32"/>
          <w:szCs w:val="32"/>
        </w:rPr>
      </w:pPr>
    </w:p>
    <w:p w14:paraId="3D7786F3" w14:textId="77777777" w:rsidR="0066479D" w:rsidRDefault="0066479D">
      <w:pPr>
        <w:spacing w:beforeLines="50" w:before="156" w:afterLines="50" w:after="156" w:line="360" w:lineRule="auto"/>
        <w:ind w:firstLineChars="300" w:firstLine="960"/>
        <w:jc w:val="center"/>
        <w:rPr>
          <w:rFonts w:ascii="黑体" w:eastAsia="黑体" w:hAnsi="黑体" w:cs="黑体" w:hint="eastAsia"/>
          <w:bCs/>
          <w:sz w:val="32"/>
          <w:szCs w:val="32"/>
        </w:rPr>
      </w:pPr>
    </w:p>
    <w:p w14:paraId="48172C16" w14:textId="77777777" w:rsidR="0066479D" w:rsidRDefault="0066479D">
      <w:pPr>
        <w:spacing w:beforeLines="50" w:before="156" w:afterLines="50" w:after="156" w:line="360" w:lineRule="auto"/>
        <w:ind w:firstLineChars="300" w:firstLine="960"/>
        <w:jc w:val="center"/>
        <w:rPr>
          <w:rFonts w:ascii="黑体" w:eastAsia="黑体" w:hAnsi="黑体" w:cs="黑体" w:hint="eastAsia"/>
          <w:bCs/>
          <w:sz w:val="32"/>
          <w:szCs w:val="32"/>
        </w:rPr>
      </w:pPr>
    </w:p>
    <w:p w14:paraId="5EF67CE5" w14:textId="77777777" w:rsidR="0066479D" w:rsidRDefault="0066479D">
      <w:pPr>
        <w:spacing w:beforeLines="50" w:before="156" w:afterLines="50" w:after="156" w:line="360" w:lineRule="auto"/>
        <w:ind w:firstLineChars="300" w:firstLine="960"/>
        <w:jc w:val="center"/>
        <w:rPr>
          <w:rFonts w:ascii="黑体" w:eastAsia="黑体" w:hAnsi="黑体" w:cs="黑体" w:hint="eastAsia"/>
          <w:bCs/>
          <w:sz w:val="32"/>
          <w:szCs w:val="32"/>
        </w:rPr>
      </w:pPr>
    </w:p>
    <w:p w14:paraId="7FA49E9A" w14:textId="77777777" w:rsidR="0097164B" w:rsidRDefault="0097164B" w:rsidP="00D90637">
      <w:pPr>
        <w:spacing w:beforeLines="50" w:before="156" w:afterLines="50" w:after="156" w:line="360" w:lineRule="auto"/>
        <w:rPr>
          <w:rFonts w:ascii="黑体" w:eastAsia="黑体" w:hAnsi="黑体" w:cs="黑体" w:hint="eastAsia"/>
          <w:bCs/>
          <w:sz w:val="32"/>
          <w:szCs w:val="32"/>
        </w:rPr>
      </w:pPr>
    </w:p>
    <w:p w14:paraId="5FC81D53" w14:textId="77777777" w:rsidR="0066783F" w:rsidRDefault="0066783F">
      <w:pPr>
        <w:spacing w:beforeLines="50" w:before="156" w:afterLines="50" w:after="156" w:line="360" w:lineRule="auto"/>
        <w:ind w:firstLineChars="300" w:firstLine="960"/>
        <w:jc w:val="center"/>
        <w:rPr>
          <w:rFonts w:ascii="黑体" w:eastAsia="黑体" w:hAnsi="黑体" w:cs="黑体" w:hint="eastAsia"/>
          <w:bCs/>
          <w:sz w:val="32"/>
          <w:szCs w:val="32"/>
        </w:rPr>
      </w:pPr>
    </w:p>
    <w:p w14:paraId="75C3707C" w14:textId="75B9463A" w:rsidR="00BC1C1D" w:rsidRDefault="00000000">
      <w:pPr>
        <w:spacing w:beforeLines="50" w:before="156" w:afterLines="50" w:after="156" w:line="360" w:lineRule="auto"/>
        <w:ind w:firstLineChars="300" w:firstLine="960"/>
        <w:jc w:val="center"/>
        <w:rPr>
          <w:rFonts w:ascii="黑体" w:eastAsia="黑体" w:hAnsi="黑体" w:hint="eastAsia"/>
          <w:bCs/>
          <w:sz w:val="32"/>
          <w:szCs w:val="32"/>
        </w:rPr>
      </w:pPr>
      <w:r>
        <w:rPr>
          <w:rFonts w:ascii="黑体" w:eastAsia="黑体" w:hAnsi="黑体"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BC1C1D" w14:paraId="7C0A05CF" w14:textId="77777777">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65BF2A0C" w14:textId="7EC3CDC6" w:rsidR="00BC1C1D" w:rsidRDefault="00000000">
            <w:pPr>
              <w:tabs>
                <w:tab w:val="left" w:pos="6870"/>
              </w:tabs>
              <w:jc w:val="center"/>
              <w:rPr>
                <w:rFonts w:ascii="黑体" w:eastAsia="黑体" w:hAnsi="黑体" w:hint="eastAsia"/>
              </w:rPr>
            </w:pPr>
            <w:r>
              <w:rPr>
                <w:rFonts w:ascii="黑体" w:eastAsia="黑体" w:hAnsi="黑体" w:cs="宋体" w:hint="eastAsia"/>
              </w:rPr>
              <w:t>论</w:t>
            </w:r>
            <w:r w:rsidR="0066479D">
              <w:rPr>
                <w:rFonts w:ascii="黑体" w:eastAsia="黑体" w:hAnsi="黑体" w:cs="宋体" w:hint="eastAsia"/>
              </w:rPr>
              <w:t>m</w:t>
            </w:r>
            <w:r>
              <w:rPr>
                <w:rFonts w:ascii="黑体" w:eastAsia="黑体" w:hAnsi="黑体" w:cs="宋体" w:hint="eastAsia"/>
              </w:rPr>
              <w:t>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71BD08DD" w14:textId="2C97E554" w:rsidR="00BC1C1D" w:rsidRDefault="00000000" w:rsidP="002F3D3E">
            <w:pPr>
              <w:tabs>
                <w:tab w:val="left" w:pos="6870"/>
              </w:tabs>
              <w:rPr>
                <w:rFonts w:ascii="仿宋" w:eastAsia="仿宋" w:hAnsi="仿宋" w:hint="eastAsia"/>
                <w:color w:val="FF0000"/>
              </w:rPr>
            </w:pPr>
            <w:r>
              <w:rPr>
                <w:rFonts w:ascii="仿宋" w:eastAsia="仿宋" w:hAnsi="仿宋" w:hint="eastAsia"/>
              </w:rPr>
              <w:t xml:space="preserve"> </w:t>
            </w:r>
          </w:p>
        </w:tc>
      </w:tr>
      <w:tr w:rsidR="00BC1C1D" w14:paraId="7D45F790" w14:textId="77777777">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278DDC66" w14:textId="77777777" w:rsidR="00BC1C1D" w:rsidRDefault="00000000">
            <w:pPr>
              <w:tabs>
                <w:tab w:val="left" w:pos="6870"/>
              </w:tabs>
              <w:jc w:val="center"/>
              <w:rPr>
                <w:rFonts w:ascii="黑体" w:eastAsia="黑体" w:hAnsi="黑体" w:hint="eastAsia"/>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084CF4D3" w14:textId="77777777" w:rsidR="00BC1C1D" w:rsidRDefault="00000000">
            <w:pPr>
              <w:tabs>
                <w:tab w:val="left" w:pos="6870"/>
              </w:tabs>
              <w:jc w:val="center"/>
              <w:rPr>
                <w:rFonts w:ascii="仿宋" w:eastAsia="仿宋" w:hAnsi="仿宋" w:hint="eastAsia"/>
              </w:rPr>
            </w:pPr>
            <w:r>
              <w:rPr>
                <w:rFonts w:ascii="仿宋" w:eastAsia="仿宋" w:hAnsi="仿宋" w:hint="eastAsia"/>
              </w:rPr>
              <w:t xml:space="preserve"> </w:t>
            </w:r>
          </w:p>
        </w:tc>
        <w:tc>
          <w:tcPr>
            <w:tcW w:w="1178" w:type="dxa"/>
            <w:tcBorders>
              <w:top w:val="single" w:sz="4" w:space="0" w:color="auto"/>
              <w:left w:val="single" w:sz="4" w:space="0" w:color="auto"/>
              <w:bottom w:val="single" w:sz="4" w:space="0" w:color="auto"/>
              <w:right w:val="single" w:sz="4" w:space="0" w:color="auto"/>
            </w:tcBorders>
            <w:vAlign w:val="center"/>
          </w:tcPr>
          <w:p w14:paraId="0B58E5DF" w14:textId="77777777" w:rsidR="00BC1C1D" w:rsidRDefault="00000000">
            <w:pPr>
              <w:tabs>
                <w:tab w:val="left" w:pos="6870"/>
              </w:tabs>
              <w:jc w:val="center"/>
              <w:rPr>
                <w:rFonts w:ascii="黑体" w:eastAsia="黑体" w:hAnsi="黑体" w:hint="eastAsia"/>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6C775DB9" w14:textId="77777777" w:rsidR="00BC1C1D" w:rsidRDefault="00000000">
            <w:pPr>
              <w:tabs>
                <w:tab w:val="left" w:pos="6870"/>
              </w:tabs>
              <w:jc w:val="center"/>
              <w:rPr>
                <w:rFonts w:ascii="仿宋" w:eastAsia="仿宋" w:hAnsi="仿宋" w:hint="eastAsia"/>
              </w:rPr>
            </w:pPr>
            <w:r>
              <w:rPr>
                <w:rFonts w:ascii="仿宋" w:eastAsia="仿宋" w:hAnsi="仿宋"/>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3A536783" w14:textId="77777777" w:rsidR="00BC1C1D" w:rsidRDefault="00000000">
            <w:pPr>
              <w:tabs>
                <w:tab w:val="left" w:pos="6870"/>
              </w:tabs>
              <w:jc w:val="center"/>
              <w:rPr>
                <w:rFonts w:ascii="黑体" w:eastAsia="黑体" w:hAnsi="黑体" w:hint="eastAsia"/>
              </w:rPr>
            </w:pPr>
            <w:r>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2CB6D63F" w14:textId="77777777" w:rsidR="00BC1C1D" w:rsidRDefault="00000000">
            <w:pPr>
              <w:tabs>
                <w:tab w:val="left" w:pos="6870"/>
              </w:tabs>
              <w:jc w:val="center"/>
              <w:rPr>
                <w:rFonts w:ascii="仿宋" w:eastAsia="仿宋" w:hAnsi="仿宋" w:hint="eastAsia"/>
                <w:color w:val="FF0000"/>
              </w:rPr>
            </w:pPr>
            <w:r>
              <w:rPr>
                <w:rFonts w:ascii="仿宋" w:eastAsia="仿宋" w:hAnsi="仿宋" w:hint="eastAsia"/>
              </w:rPr>
              <w:t xml:space="preserve"> </w:t>
            </w:r>
          </w:p>
        </w:tc>
      </w:tr>
      <w:tr w:rsidR="00BC1C1D" w14:paraId="3000FF13" w14:textId="77777777">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14:paraId="003756DD" w14:textId="77777777" w:rsidR="00BC1C1D" w:rsidRDefault="00000000">
            <w:pPr>
              <w:tabs>
                <w:tab w:val="left" w:pos="6870"/>
              </w:tabs>
              <w:jc w:val="center"/>
              <w:rPr>
                <w:rFonts w:ascii="黑体" w:eastAsia="黑体" w:hAnsi="黑体" w:hint="eastAsia"/>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60C0006" w14:textId="77777777" w:rsidR="00BC1C1D" w:rsidRDefault="00000000">
            <w:pPr>
              <w:tabs>
                <w:tab w:val="left" w:pos="6870"/>
              </w:tabs>
              <w:jc w:val="center"/>
              <w:rPr>
                <w:rFonts w:ascii="楷体" w:eastAsia="楷体" w:hAnsi="楷体" w:hint="eastAsia"/>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14:paraId="7569D8AB" w14:textId="77777777" w:rsidR="00BC1C1D" w:rsidRDefault="00000000">
            <w:pPr>
              <w:tabs>
                <w:tab w:val="left" w:pos="6870"/>
              </w:tabs>
              <w:jc w:val="center"/>
              <w:rPr>
                <w:rFonts w:ascii="楷体" w:eastAsia="楷体" w:hAnsi="楷体" w:hint="eastAsia"/>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vAlign w:val="center"/>
          </w:tcPr>
          <w:p w14:paraId="78AA1553" w14:textId="77777777" w:rsidR="00BC1C1D" w:rsidRDefault="00000000">
            <w:pPr>
              <w:tabs>
                <w:tab w:val="left" w:pos="6870"/>
              </w:tabs>
              <w:jc w:val="center"/>
              <w:rPr>
                <w:rFonts w:ascii="楷体" w:eastAsia="楷体" w:hAnsi="楷体" w:hint="eastAsia"/>
                <w:color w:val="000000"/>
              </w:rPr>
            </w:pPr>
            <w:r>
              <w:rPr>
                <w:rFonts w:ascii="楷体" w:eastAsia="楷体" w:hAnsi="楷体" w:hint="eastAsia"/>
                <w:color w:val="000000"/>
              </w:rPr>
              <w:t>评分</w:t>
            </w:r>
          </w:p>
        </w:tc>
      </w:tr>
      <w:tr w:rsidR="00BC1C1D" w14:paraId="031DCC66" w14:textId="77777777">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14:paraId="3146415D" w14:textId="77777777" w:rsidR="00BC1C1D" w:rsidRDefault="00000000">
            <w:pPr>
              <w:tabs>
                <w:tab w:val="left" w:pos="6870"/>
              </w:tabs>
              <w:jc w:val="center"/>
              <w:rPr>
                <w:rFonts w:ascii="黑体" w:eastAsia="黑体" w:hAnsi="黑体" w:hint="eastAsia"/>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F464EDF" w14:textId="77777777" w:rsidR="00BC1C1D" w:rsidRDefault="00000000">
            <w:pPr>
              <w:tabs>
                <w:tab w:val="left" w:pos="6870"/>
              </w:tabs>
              <w:rPr>
                <w:rFonts w:ascii="仿宋" w:eastAsia="仿宋" w:hAnsi="仿宋" w:hint="eastAsia"/>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14:paraId="774CA2CA" w14:textId="77777777" w:rsidR="00BC1C1D" w:rsidRDefault="00000000">
            <w:pPr>
              <w:tabs>
                <w:tab w:val="left" w:pos="6870"/>
              </w:tabs>
              <w:jc w:val="center"/>
              <w:rPr>
                <w:rFonts w:ascii="仿宋" w:eastAsia="仿宋" w:hAnsi="仿宋" w:hint="eastAsia"/>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vAlign w:val="center"/>
          </w:tcPr>
          <w:p w14:paraId="520E213C" w14:textId="77777777" w:rsidR="00BC1C1D"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C1C1D" w14:paraId="346BC0A2" w14:textId="77777777">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14:paraId="2937111D" w14:textId="77777777" w:rsidR="00BC1C1D" w:rsidRDefault="00000000">
            <w:pPr>
              <w:tabs>
                <w:tab w:val="left" w:pos="6870"/>
              </w:tabs>
              <w:jc w:val="center"/>
              <w:rPr>
                <w:rFonts w:ascii="黑体" w:eastAsia="黑体" w:hAnsi="黑体" w:hint="eastAsia"/>
              </w:rPr>
            </w:pPr>
            <w:r>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409857E2" w14:textId="77777777" w:rsidR="00BC1C1D" w:rsidRDefault="00000000">
            <w:pPr>
              <w:tabs>
                <w:tab w:val="left" w:pos="6870"/>
              </w:tabs>
              <w:rPr>
                <w:rFonts w:ascii="仿宋" w:eastAsia="仿宋" w:hAnsi="仿宋" w:hint="eastAsia"/>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14:paraId="2F705B7C" w14:textId="77777777" w:rsidR="00BC1C1D" w:rsidRDefault="00000000">
            <w:pPr>
              <w:tabs>
                <w:tab w:val="left" w:pos="6870"/>
              </w:tabs>
              <w:jc w:val="center"/>
              <w:rPr>
                <w:rFonts w:ascii="仿宋" w:eastAsia="仿宋" w:hAnsi="仿宋" w:hint="eastAsia"/>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04726A7C" w14:textId="77777777" w:rsidR="00BC1C1D"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C1C1D" w14:paraId="663A5B68" w14:textId="77777777">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14:paraId="24C9D96D" w14:textId="77777777" w:rsidR="00BC1C1D" w:rsidRDefault="00000000">
            <w:pPr>
              <w:tabs>
                <w:tab w:val="left" w:pos="6870"/>
              </w:tabs>
              <w:jc w:val="center"/>
              <w:rPr>
                <w:rFonts w:ascii="黑体" w:eastAsia="黑体" w:hAnsi="黑体" w:hint="eastAsia"/>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EA6E484" w14:textId="77777777" w:rsidR="00BC1C1D" w:rsidRDefault="00000000">
            <w:pPr>
              <w:tabs>
                <w:tab w:val="left" w:pos="6870"/>
              </w:tabs>
              <w:rPr>
                <w:rFonts w:ascii="仿宋" w:eastAsia="仿宋" w:hAnsi="仿宋" w:hint="eastAsia"/>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14:paraId="13998575" w14:textId="77777777" w:rsidR="00BC1C1D" w:rsidRDefault="00000000">
            <w:pPr>
              <w:tabs>
                <w:tab w:val="left" w:pos="6870"/>
              </w:tabs>
              <w:jc w:val="center"/>
              <w:rPr>
                <w:rFonts w:ascii="仿宋" w:eastAsia="仿宋" w:hAnsi="仿宋" w:hint="eastAsia"/>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03A18365" w14:textId="77777777" w:rsidR="00BC1C1D"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C1C1D" w14:paraId="012F88F0" w14:textId="77777777">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14:paraId="67D19AF1" w14:textId="77777777" w:rsidR="00BC1C1D" w:rsidRDefault="00000000">
            <w:pPr>
              <w:tabs>
                <w:tab w:val="left" w:pos="6870"/>
              </w:tabs>
              <w:jc w:val="center"/>
              <w:rPr>
                <w:rFonts w:ascii="黑体" w:eastAsia="黑体" w:hAnsi="黑体" w:hint="eastAsia"/>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F31FA8C" w14:textId="77777777" w:rsidR="00BC1C1D" w:rsidRDefault="00000000">
            <w:pPr>
              <w:tabs>
                <w:tab w:val="left" w:pos="6870"/>
              </w:tabs>
              <w:rPr>
                <w:rFonts w:ascii="仿宋" w:eastAsia="仿宋" w:hAnsi="仿宋" w:hint="eastAsia"/>
                <w:color w:val="000000"/>
              </w:rPr>
            </w:pPr>
            <w:r>
              <w:rPr>
                <w:rFonts w:ascii="仿宋" w:eastAsia="仿宋" w:hAnsi="仿宋" w:hint="eastAsia"/>
                <w:color w:val="000000"/>
              </w:rPr>
              <w:t>文字通顺，结构完整，字数不少于4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6B65B562" w14:textId="77777777" w:rsidR="00BC1C1D"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37EC596D" w14:textId="77777777" w:rsidR="00BC1C1D"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C1C1D" w14:paraId="66EBFD4B" w14:textId="77777777">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14:paraId="17A5069A" w14:textId="77777777" w:rsidR="00BC1C1D" w:rsidRDefault="00000000">
            <w:pPr>
              <w:tabs>
                <w:tab w:val="left" w:pos="6870"/>
              </w:tabs>
              <w:jc w:val="center"/>
              <w:rPr>
                <w:rFonts w:ascii="黑体" w:eastAsia="黑体" w:hAnsi="黑体" w:hint="eastAsia"/>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30FB0A41" w14:textId="77777777" w:rsidR="00BC1C1D" w:rsidRDefault="00000000">
            <w:pPr>
              <w:tabs>
                <w:tab w:val="left" w:pos="6870"/>
              </w:tabs>
              <w:rPr>
                <w:rFonts w:ascii="仿宋" w:eastAsia="仿宋" w:hAnsi="仿宋" w:hint="eastAsia"/>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行距，段前段后0行；一级标题选用“</w:t>
            </w:r>
            <w:r>
              <w:rPr>
                <w:rFonts w:ascii="仿宋" w:eastAsia="仿宋" w:hAnsi="仿宋" w:hint="eastAsia"/>
                <w:color w:val="000000"/>
              </w:rPr>
              <w:t>四</w:t>
            </w:r>
            <w:r>
              <w:rPr>
                <w:rFonts w:ascii="仿宋" w:eastAsia="仿宋" w:hAnsi="仿宋"/>
                <w:color w:val="000000"/>
              </w:rPr>
              <w:t>号黑体”，二级标题选用“</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；正文内容选用“小四号宋体”；英文字体为“Times New Roman”。报告A4纸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29C52975" w14:textId="77777777" w:rsidR="00BC1C1D"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0BD4346D" w14:textId="77777777" w:rsidR="00BC1C1D"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BC1C1D" w14:paraId="7EB3F8CD" w14:textId="77777777">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14:paraId="06611794" w14:textId="77777777" w:rsidR="00BC1C1D" w:rsidRDefault="00000000">
            <w:pPr>
              <w:tabs>
                <w:tab w:val="left" w:pos="6870"/>
              </w:tabs>
              <w:jc w:val="center"/>
              <w:rPr>
                <w:rFonts w:ascii="黑体" w:eastAsia="黑体" w:hAnsi="黑体" w:hint="eastAsia"/>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55D24528" w14:textId="77777777" w:rsidR="00BC1C1D" w:rsidRDefault="00BC1C1D">
            <w:pPr>
              <w:tabs>
                <w:tab w:val="left" w:pos="6870"/>
              </w:tabs>
              <w:rPr>
                <w:rFonts w:ascii="仿宋" w:eastAsia="仿宋" w:hAnsi="仿宋" w:hint="eastAsia"/>
                <w:color w:val="000000"/>
              </w:rPr>
            </w:pPr>
          </w:p>
        </w:tc>
      </w:tr>
      <w:tr w:rsidR="00BC1C1D" w14:paraId="374C248A" w14:textId="77777777">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14:paraId="595CD88B" w14:textId="77777777" w:rsidR="00BC1C1D" w:rsidRDefault="00BC1C1D">
            <w:pPr>
              <w:tabs>
                <w:tab w:val="left" w:pos="6870"/>
              </w:tabs>
              <w:jc w:val="center"/>
              <w:rPr>
                <w:rFonts w:ascii="黑体" w:eastAsia="黑体" w:hAnsi="黑体" w:hint="eastAsia"/>
              </w:rPr>
            </w:pPr>
          </w:p>
          <w:p w14:paraId="59EC20F0" w14:textId="77777777" w:rsidR="00BC1C1D" w:rsidRDefault="00BC1C1D">
            <w:pPr>
              <w:tabs>
                <w:tab w:val="left" w:pos="6870"/>
              </w:tabs>
              <w:jc w:val="center"/>
              <w:rPr>
                <w:rFonts w:ascii="黑体" w:eastAsia="黑体" w:hAnsi="黑体" w:hint="eastAsia"/>
              </w:rPr>
            </w:pPr>
          </w:p>
          <w:p w14:paraId="52B88C3A" w14:textId="77777777" w:rsidR="00BC1C1D" w:rsidRDefault="00BC1C1D">
            <w:pPr>
              <w:tabs>
                <w:tab w:val="left" w:pos="6870"/>
              </w:tabs>
              <w:jc w:val="center"/>
              <w:rPr>
                <w:rFonts w:ascii="黑体" w:eastAsia="黑体" w:hAnsi="黑体" w:hint="eastAsia"/>
              </w:rPr>
            </w:pPr>
          </w:p>
          <w:p w14:paraId="0CE85C46" w14:textId="77777777" w:rsidR="00BC1C1D" w:rsidRDefault="00BC1C1D">
            <w:pPr>
              <w:tabs>
                <w:tab w:val="left" w:pos="6870"/>
              </w:tabs>
              <w:jc w:val="center"/>
              <w:rPr>
                <w:rFonts w:ascii="黑体" w:eastAsia="黑体" w:hAnsi="黑体" w:hint="eastAsia"/>
              </w:rPr>
            </w:pPr>
          </w:p>
          <w:p w14:paraId="49289CAE" w14:textId="77777777" w:rsidR="00BC1C1D" w:rsidRDefault="00BC1C1D">
            <w:pPr>
              <w:tabs>
                <w:tab w:val="left" w:pos="6870"/>
              </w:tabs>
              <w:jc w:val="center"/>
              <w:rPr>
                <w:rFonts w:ascii="黑体" w:eastAsia="黑体" w:hAnsi="黑体" w:hint="eastAsia"/>
              </w:rPr>
            </w:pPr>
          </w:p>
          <w:p w14:paraId="360FA258" w14:textId="77777777" w:rsidR="00BC1C1D" w:rsidRDefault="00BC1C1D">
            <w:pPr>
              <w:tabs>
                <w:tab w:val="left" w:pos="6870"/>
              </w:tabs>
              <w:jc w:val="center"/>
              <w:rPr>
                <w:rFonts w:ascii="黑体" w:eastAsia="黑体" w:hAnsi="黑体" w:hint="eastAsia"/>
              </w:rPr>
            </w:pPr>
          </w:p>
          <w:p w14:paraId="10D3C95C" w14:textId="77777777" w:rsidR="00BC1C1D" w:rsidRDefault="00000000">
            <w:pPr>
              <w:tabs>
                <w:tab w:val="left" w:pos="6870"/>
              </w:tabs>
              <w:jc w:val="center"/>
              <w:rPr>
                <w:rFonts w:ascii="黑体" w:eastAsia="黑体" w:hAnsi="黑体" w:hint="eastAsia"/>
              </w:rPr>
            </w:pPr>
            <w:r>
              <w:rPr>
                <w:rFonts w:ascii="黑体" w:eastAsia="黑体" w:hAnsi="黑体" w:hint="eastAsia"/>
              </w:rPr>
              <w:t>任课教师</w:t>
            </w:r>
          </w:p>
          <w:p w14:paraId="27E09B86" w14:textId="77777777" w:rsidR="00BC1C1D" w:rsidRDefault="00000000">
            <w:pPr>
              <w:tabs>
                <w:tab w:val="left" w:pos="6870"/>
              </w:tabs>
              <w:jc w:val="center"/>
              <w:rPr>
                <w:rFonts w:ascii="黑体" w:eastAsia="黑体" w:hAnsi="黑体" w:hint="eastAsia"/>
              </w:rPr>
            </w:pPr>
            <w:r>
              <w:rPr>
                <w:rFonts w:ascii="黑体" w:eastAsia="黑体" w:hAnsi="黑体" w:hint="eastAsia"/>
              </w:rPr>
              <w:t>评阅意见</w:t>
            </w:r>
          </w:p>
          <w:p w14:paraId="6EBB39FF" w14:textId="77777777" w:rsidR="00BC1C1D" w:rsidRDefault="00BC1C1D">
            <w:pPr>
              <w:rPr>
                <w:rFonts w:ascii="黑体" w:eastAsia="黑体" w:hAnsi="黑体" w:hint="eastAsia"/>
              </w:rPr>
            </w:pPr>
          </w:p>
          <w:p w14:paraId="1FACCF12" w14:textId="77777777" w:rsidR="00BC1C1D" w:rsidRDefault="00BC1C1D">
            <w:pPr>
              <w:rPr>
                <w:rFonts w:ascii="黑体" w:eastAsia="黑体" w:hAnsi="黑体" w:hint="eastAsia"/>
              </w:rPr>
            </w:pPr>
          </w:p>
          <w:p w14:paraId="43909A83" w14:textId="77777777" w:rsidR="00BC1C1D" w:rsidRDefault="00BC1C1D">
            <w:pPr>
              <w:rPr>
                <w:rFonts w:ascii="黑体" w:eastAsia="黑体" w:hAnsi="黑体" w:hint="eastAsia"/>
              </w:rPr>
            </w:pPr>
          </w:p>
          <w:p w14:paraId="1D847D8A" w14:textId="77777777" w:rsidR="00BC1C1D" w:rsidRDefault="00BC1C1D">
            <w:pPr>
              <w:rPr>
                <w:rFonts w:ascii="黑体" w:eastAsia="黑体" w:hAnsi="黑体" w:hint="eastAsia"/>
              </w:rPr>
            </w:pPr>
          </w:p>
          <w:p w14:paraId="7ED0EAD3" w14:textId="77777777" w:rsidR="00BC1C1D" w:rsidRDefault="00BC1C1D">
            <w:pPr>
              <w:rPr>
                <w:rFonts w:ascii="黑体" w:eastAsia="黑体" w:hAnsi="黑体" w:hint="eastAsia"/>
              </w:rPr>
            </w:pPr>
          </w:p>
          <w:p w14:paraId="2FCD9CBC" w14:textId="77777777" w:rsidR="00BC1C1D" w:rsidRDefault="00BC1C1D">
            <w:pPr>
              <w:rPr>
                <w:rFonts w:ascii="黑体" w:eastAsia="黑体" w:hAnsi="黑体" w:hint="eastAsia"/>
              </w:rPr>
            </w:pPr>
          </w:p>
          <w:p w14:paraId="7E02AA57" w14:textId="77777777" w:rsidR="00BC1C1D" w:rsidRDefault="00BC1C1D">
            <w:pPr>
              <w:rPr>
                <w:rFonts w:ascii="黑体" w:eastAsia="黑体" w:hAnsi="黑体" w:hint="eastAsia"/>
              </w:rPr>
            </w:pPr>
          </w:p>
          <w:p w14:paraId="474DC7D6" w14:textId="77777777" w:rsidR="00BC1C1D" w:rsidRDefault="00BC1C1D">
            <w:pPr>
              <w:rPr>
                <w:rFonts w:ascii="黑体" w:eastAsia="黑体" w:hAnsi="黑体" w:hint="eastAsia"/>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0DF83CE1" w14:textId="77777777" w:rsidR="00BC1C1D" w:rsidRDefault="00BC1C1D">
            <w:pPr>
              <w:tabs>
                <w:tab w:val="left" w:pos="6870"/>
              </w:tabs>
              <w:jc w:val="center"/>
              <w:rPr>
                <w:rFonts w:ascii="仿宋" w:eastAsia="仿宋" w:hAnsi="仿宋" w:hint="eastAsia"/>
                <w:color w:val="000000"/>
              </w:rPr>
            </w:pPr>
          </w:p>
          <w:p w14:paraId="074438F1" w14:textId="77777777" w:rsidR="00BC1C1D" w:rsidRDefault="00BC1C1D">
            <w:pPr>
              <w:tabs>
                <w:tab w:val="left" w:pos="6870"/>
              </w:tabs>
              <w:jc w:val="center"/>
              <w:rPr>
                <w:rFonts w:ascii="仿宋" w:eastAsia="仿宋" w:hAnsi="仿宋" w:hint="eastAsia"/>
                <w:color w:val="000000"/>
              </w:rPr>
            </w:pPr>
          </w:p>
          <w:p w14:paraId="5F4927AD" w14:textId="77777777" w:rsidR="00BC1C1D" w:rsidRDefault="00BC1C1D">
            <w:pPr>
              <w:tabs>
                <w:tab w:val="left" w:pos="6870"/>
              </w:tabs>
              <w:jc w:val="center"/>
              <w:rPr>
                <w:rFonts w:ascii="仿宋" w:eastAsia="仿宋" w:hAnsi="仿宋" w:hint="eastAsia"/>
                <w:color w:val="000000"/>
              </w:rPr>
            </w:pPr>
          </w:p>
          <w:p w14:paraId="1484058C" w14:textId="77777777" w:rsidR="00BC1C1D" w:rsidRDefault="00BC1C1D">
            <w:pPr>
              <w:tabs>
                <w:tab w:val="left" w:pos="6870"/>
              </w:tabs>
              <w:jc w:val="center"/>
              <w:rPr>
                <w:rFonts w:ascii="仿宋" w:eastAsia="仿宋" w:hAnsi="仿宋" w:hint="eastAsia"/>
                <w:color w:val="000000"/>
              </w:rPr>
            </w:pPr>
          </w:p>
          <w:p w14:paraId="27D57C57" w14:textId="77777777" w:rsidR="00BC1C1D" w:rsidRDefault="00BC1C1D">
            <w:pPr>
              <w:tabs>
                <w:tab w:val="left" w:pos="6870"/>
              </w:tabs>
              <w:jc w:val="center"/>
              <w:rPr>
                <w:rFonts w:ascii="仿宋" w:eastAsia="仿宋" w:hAnsi="仿宋" w:hint="eastAsia"/>
                <w:color w:val="000000"/>
              </w:rPr>
            </w:pPr>
          </w:p>
          <w:p w14:paraId="440FDD16" w14:textId="77777777" w:rsidR="00BC1C1D" w:rsidRDefault="00BC1C1D">
            <w:pPr>
              <w:tabs>
                <w:tab w:val="left" w:pos="6870"/>
              </w:tabs>
              <w:jc w:val="center"/>
              <w:rPr>
                <w:rFonts w:ascii="仿宋" w:eastAsia="仿宋" w:hAnsi="仿宋" w:hint="eastAsia"/>
                <w:color w:val="000000"/>
              </w:rPr>
            </w:pPr>
          </w:p>
          <w:p w14:paraId="2FA179C6" w14:textId="77777777" w:rsidR="00BC1C1D" w:rsidRDefault="00BC1C1D">
            <w:pPr>
              <w:tabs>
                <w:tab w:val="left" w:pos="6870"/>
              </w:tabs>
              <w:jc w:val="center"/>
              <w:rPr>
                <w:rFonts w:ascii="仿宋" w:eastAsia="仿宋" w:hAnsi="仿宋" w:hint="eastAsia"/>
                <w:color w:val="000000"/>
              </w:rPr>
            </w:pPr>
          </w:p>
          <w:p w14:paraId="60C9602B" w14:textId="77777777" w:rsidR="00BC1C1D" w:rsidRDefault="00BC1C1D">
            <w:pPr>
              <w:tabs>
                <w:tab w:val="left" w:pos="6870"/>
              </w:tabs>
              <w:jc w:val="center"/>
              <w:rPr>
                <w:rFonts w:ascii="仿宋" w:eastAsia="仿宋" w:hAnsi="仿宋" w:hint="eastAsia"/>
                <w:color w:val="000000"/>
              </w:rPr>
            </w:pPr>
          </w:p>
          <w:p w14:paraId="287B3727" w14:textId="77777777" w:rsidR="00BC1C1D" w:rsidRDefault="00BC1C1D">
            <w:pPr>
              <w:tabs>
                <w:tab w:val="left" w:pos="6870"/>
              </w:tabs>
              <w:jc w:val="center"/>
              <w:rPr>
                <w:rFonts w:ascii="仿宋" w:eastAsia="仿宋" w:hAnsi="仿宋" w:hint="eastAsia"/>
                <w:color w:val="000000"/>
              </w:rPr>
            </w:pPr>
          </w:p>
          <w:p w14:paraId="19FF8B5E" w14:textId="77777777" w:rsidR="00BC1C1D" w:rsidRDefault="00BC1C1D">
            <w:pPr>
              <w:tabs>
                <w:tab w:val="left" w:pos="6870"/>
              </w:tabs>
              <w:rPr>
                <w:rFonts w:ascii="仿宋" w:eastAsia="仿宋" w:hAnsi="仿宋" w:hint="eastAsia"/>
                <w:color w:val="000000"/>
              </w:rPr>
            </w:pPr>
          </w:p>
          <w:p w14:paraId="7B925176" w14:textId="77777777" w:rsidR="00BC1C1D" w:rsidRDefault="00BC1C1D">
            <w:pPr>
              <w:tabs>
                <w:tab w:val="left" w:pos="6870"/>
              </w:tabs>
              <w:rPr>
                <w:rFonts w:ascii="仿宋" w:eastAsia="仿宋" w:hAnsi="仿宋" w:hint="eastAsia"/>
                <w:color w:val="000000"/>
              </w:rPr>
            </w:pPr>
          </w:p>
        </w:tc>
      </w:tr>
    </w:tbl>
    <w:p w14:paraId="7F228198" w14:textId="77777777" w:rsidR="00BC1C1D" w:rsidRDefault="00BC1C1D"/>
    <w:p w14:paraId="4921E78C" w14:textId="77777777" w:rsidR="0066783F" w:rsidRDefault="0066783F"/>
    <w:p w14:paraId="4A017174" w14:textId="77777777" w:rsidR="0066783F" w:rsidRDefault="0066783F"/>
    <w:p w14:paraId="6F6FB4F8" w14:textId="77777777" w:rsidR="0066783F" w:rsidRDefault="0066783F"/>
    <w:p w14:paraId="303FD5B4" w14:textId="77777777" w:rsidR="0066783F" w:rsidRDefault="0066783F"/>
    <w:p w14:paraId="4DE2BCC1" w14:textId="754B21ED" w:rsidR="0066783F" w:rsidRDefault="0066783F">
      <w:r w:rsidRPr="0066783F">
        <w:drawing>
          <wp:inline distT="0" distB="0" distL="0" distR="0" wp14:anchorId="5E616BDE" wp14:editId="6B4B3FE2">
            <wp:extent cx="5274310" cy="336550"/>
            <wp:effectExtent l="0" t="0" r="2540" b="6350"/>
            <wp:docPr id="2047228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28992" name=""/>
                    <pic:cNvPicPr/>
                  </pic:nvPicPr>
                  <pic:blipFill>
                    <a:blip r:embed="rId8"/>
                    <a:stretch>
                      <a:fillRect/>
                    </a:stretch>
                  </pic:blipFill>
                  <pic:spPr>
                    <a:xfrm>
                      <a:off x="0" y="0"/>
                      <a:ext cx="5274310" cy="336550"/>
                    </a:xfrm>
                    <a:prstGeom prst="rect">
                      <a:avLst/>
                    </a:prstGeom>
                  </pic:spPr>
                </pic:pic>
              </a:graphicData>
            </a:graphic>
          </wp:inline>
        </w:drawing>
      </w:r>
    </w:p>
    <w:p w14:paraId="7C597037" w14:textId="77777777" w:rsidR="0066783F" w:rsidRDefault="0066783F">
      <w:pPr>
        <w:rPr>
          <w:rFonts w:hint="eastAsia"/>
        </w:rPr>
      </w:pPr>
    </w:p>
    <w:sectPr w:rsidR="006678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556DA" w14:textId="77777777" w:rsidR="00AD5DA3" w:rsidRDefault="00AD5DA3" w:rsidP="003E4A20">
      <w:r>
        <w:separator/>
      </w:r>
    </w:p>
  </w:endnote>
  <w:endnote w:type="continuationSeparator" w:id="0">
    <w:p w14:paraId="750386A9" w14:textId="77777777" w:rsidR="00AD5DA3" w:rsidRDefault="00AD5DA3" w:rsidP="003E4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00" w:usb3="00000000" w:csb0="00040000" w:csb1="00000000"/>
  </w:font>
  <w:font w:name="仿宋">
    <w:altName w:val="方正仿宋_GBK"/>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CE4F1" w14:textId="77777777" w:rsidR="00AD5DA3" w:rsidRDefault="00AD5DA3" w:rsidP="003E4A20">
      <w:r>
        <w:separator/>
      </w:r>
    </w:p>
  </w:footnote>
  <w:footnote w:type="continuationSeparator" w:id="0">
    <w:p w14:paraId="0A47D4B1" w14:textId="77777777" w:rsidR="00AD5DA3" w:rsidRDefault="00AD5DA3" w:rsidP="003E4A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E69B4"/>
    <w:multiLevelType w:val="multilevel"/>
    <w:tmpl w:val="F808E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122B6E"/>
    <w:multiLevelType w:val="multilevel"/>
    <w:tmpl w:val="9C72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410DF1"/>
    <w:multiLevelType w:val="hybridMultilevel"/>
    <w:tmpl w:val="4DA2A314"/>
    <w:lvl w:ilvl="0" w:tplc="F7620F4C">
      <w:start w:val="1"/>
      <w:numFmt w:val="japaneseCounting"/>
      <w:lvlText w:val="%1、"/>
      <w:lvlJc w:val="left"/>
      <w:pPr>
        <w:ind w:left="820" w:hanging="660"/>
      </w:pPr>
      <w:rPr>
        <w:rFonts w:hint="default"/>
      </w:rPr>
    </w:lvl>
    <w:lvl w:ilvl="1" w:tplc="04090019" w:tentative="1">
      <w:start w:val="1"/>
      <w:numFmt w:val="lowerLetter"/>
      <w:lvlText w:val="%2)"/>
      <w:lvlJc w:val="left"/>
      <w:pPr>
        <w:ind w:left="1040" w:hanging="440"/>
      </w:pPr>
    </w:lvl>
    <w:lvl w:ilvl="2" w:tplc="0409001B" w:tentative="1">
      <w:start w:val="1"/>
      <w:numFmt w:val="lowerRoman"/>
      <w:lvlText w:val="%3."/>
      <w:lvlJc w:val="right"/>
      <w:pPr>
        <w:ind w:left="1480" w:hanging="440"/>
      </w:pPr>
    </w:lvl>
    <w:lvl w:ilvl="3" w:tplc="0409000F" w:tentative="1">
      <w:start w:val="1"/>
      <w:numFmt w:val="decimal"/>
      <w:lvlText w:val="%4."/>
      <w:lvlJc w:val="left"/>
      <w:pPr>
        <w:ind w:left="1920" w:hanging="440"/>
      </w:pPr>
    </w:lvl>
    <w:lvl w:ilvl="4" w:tplc="04090019" w:tentative="1">
      <w:start w:val="1"/>
      <w:numFmt w:val="lowerLetter"/>
      <w:lvlText w:val="%5)"/>
      <w:lvlJc w:val="left"/>
      <w:pPr>
        <w:ind w:left="2360" w:hanging="440"/>
      </w:pPr>
    </w:lvl>
    <w:lvl w:ilvl="5" w:tplc="0409001B" w:tentative="1">
      <w:start w:val="1"/>
      <w:numFmt w:val="lowerRoman"/>
      <w:lvlText w:val="%6."/>
      <w:lvlJc w:val="right"/>
      <w:pPr>
        <w:ind w:left="2800" w:hanging="440"/>
      </w:pPr>
    </w:lvl>
    <w:lvl w:ilvl="6" w:tplc="0409000F" w:tentative="1">
      <w:start w:val="1"/>
      <w:numFmt w:val="decimal"/>
      <w:lvlText w:val="%7."/>
      <w:lvlJc w:val="left"/>
      <w:pPr>
        <w:ind w:left="3240" w:hanging="440"/>
      </w:pPr>
    </w:lvl>
    <w:lvl w:ilvl="7" w:tplc="04090019" w:tentative="1">
      <w:start w:val="1"/>
      <w:numFmt w:val="lowerLetter"/>
      <w:lvlText w:val="%8)"/>
      <w:lvlJc w:val="left"/>
      <w:pPr>
        <w:ind w:left="3680" w:hanging="440"/>
      </w:pPr>
    </w:lvl>
    <w:lvl w:ilvl="8" w:tplc="0409001B" w:tentative="1">
      <w:start w:val="1"/>
      <w:numFmt w:val="lowerRoman"/>
      <w:lvlText w:val="%9."/>
      <w:lvlJc w:val="right"/>
      <w:pPr>
        <w:ind w:left="4120" w:hanging="440"/>
      </w:pPr>
    </w:lvl>
  </w:abstractNum>
  <w:abstractNum w:abstractNumId="3" w15:restartNumberingAfterBreak="0">
    <w:nsid w:val="7BF4004C"/>
    <w:multiLevelType w:val="multilevel"/>
    <w:tmpl w:val="2B1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105548">
    <w:abstractNumId w:val="2"/>
  </w:num>
  <w:num w:numId="2" w16cid:durableId="1820027534">
    <w:abstractNumId w:val="1"/>
  </w:num>
  <w:num w:numId="3" w16cid:durableId="1020086258">
    <w:abstractNumId w:val="3"/>
  </w:num>
  <w:num w:numId="4" w16cid:durableId="1975141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5B35F4"/>
    <w:rsid w:val="00060656"/>
    <w:rsid w:val="0007337C"/>
    <w:rsid w:val="000B5C6C"/>
    <w:rsid w:val="0015416B"/>
    <w:rsid w:val="00174FEA"/>
    <w:rsid w:val="00197626"/>
    <w:rsid w:val="002F3D3E"/>
    <w:rsid w:val="003E4A20"/>
    <w:rsid w:val="004E4D03"/>
    <w:rsid w:val="004F513D"/>
    <w:rsid w:val="005028C6"/>
    <w:rsid w:val="00563169"/>
    <w:rsid w:val="00623FFF"/>
    <w:rsid w:val="00635B3E"/>
    <w:rsid w:val="00646D6F"/>
    <w:rsid w:val="00657141"/>
    <w:rsid w:val="0066479D"/>
    <w:rsid w:val="0066783F"/>
    <w:rsid w:val="00710181"/>
    <w:rsid w:val="0077161D"/>
    <w:rsid w:val="008D056E"/>
    <w:rsid w:val="008D73C0"/>
    <w:rsid w:val="008E5519"/>
    <w:rsid w:val="0097164B"/>
    <w:rsid w:val="00974B96"/>
    <w:rsid w:val="009A6FBE"/>
    <w:rsid w:val="00A240AE"/>
    <w:rsid w:val="00A40108"/>
    <w:rsid w:val="00AA1B78"/>
    <w:rsid w:val="00AD5DA3"/>
    <w:rsid w:val="00AE3210"/>
    <w:rsid w:val="00B83FDC"/>
    <w:rsid w:val="00BC1C1D"/>
    <w:rsid w:val="00BE0090"/>
    <w:rsid w:val="00CF1078"/>
    <w:rsid w:val="00D101AB"/>
    <w:rsid w:val="00D40759"/>
    <w:rsid w:val="00D90637"/>
    <w:rsid w:val="00E155F0"/>
    <w:rsid w:val="00E53F13"/>
    <w:rsid w:val="00F408C0"/>
    <w:rsid w:val="00F46D38"/>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06B51"/>
  <w15:docId w15:val="{A60F4455-56BB-4C47-B234-6AE33E08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9A6FBE"/>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19762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rsid w:val="008D056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E4A20"/>
    <w:pPr>
      <w:tabs>
        <w:tab w:val="center" w:pos="4153"/>
        <w:tab w:val="right" w:pos="8306"/>
      </w:tabs>
      <w:snapToGrid w:val="0"/>
      <w:jc w:val="center"/>
    </w:pPr>
    <w:rPr>
      <w:sz w:val="18"/>
      <w:szCs w:val="18"/>
    </w:rPr>
  </w:style>
  <w:style w:type="character" w:customStyle="1" w:styleId="a4">
    <w:name w:val="页眉 字符"/>
    <w:basedOn w:val="a0"/>
    <w:link w:val="a3"/>
    <w:rsid w:val="003E4A20"/>
    <w:rPr>
      <w:kern w:val="2"/>
      <w:sz w:val="18"/>
      <w:szCs w:val="18"/>
    </w:rPr>
  </w:style>
  <w:style w:type="paragraph" w:styleId="a5">
    <w:name w:val="footer"/>
    <w:basedOn w:val="a"/>
    <w:link w:val="a6"/>
    <w:rsid w:val="003E4A20"/>
    <w:pPr>
      <w:tabs>
        <w:tab w:val="center" w:pos="4153"/>
        <w:tab w:val="right" w:pos="8306"/>
      </w:tabs>
      <w:snapToGrid w:val="0"/>
      <w:jc w:val="left"/>
    </w:pPr>
    <w:rPr>
      <w:sz w:val="18"/>
      <w:szCs w:val="18"/>
    </w:rPr>
  </w:style>
  <w:style w:type="character" w:customStyle="1" w:styleId="a6">
    <w:name w:val="页脚 字符"/>
    <w:basedOn w:val="a0"/>
    <w:link w:val="a5"/>
    <w:rsid w:val="003E4A20"/>
    <w:rPr>
      <w:kern w:val="2"/>
      <w:sz w:val="18"/>
      <w:szCs w:val="18"/>
    </w:rPr>
  </w:style>
  <w:style w:type="character" w:customStyle="1" w:styleId="10">
    <w:name w:val="标题 1 字符"/>
    <w:basedOn w:val="a0"/>
    <w:link w:val="1"/>
    <w:rsid w:val="009A6FBE"/>
    <w:rPr>
      <w:b/>
      <w:bCs/>
      <w:kern w:val="44"/>
      <w:sz w:val="44"/>
      <w:szCs w:val="44"/>
    </w:rPr>
  </w:style>
  <w:style w:type="paragraph" w:styleId="a7">
    <w:name w:val="Title"/>
    <w:basedOn w:val="a"/>
    <w:next w:val="a"/>
    <w:link w:val="a8"/>
    <w:qFormat/>
    <w:rsid w:val="009A6FBE"/>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rsid w:val="009A6FBE"/>
    <w:rPr>
      <w:rFonts w:asciiTheme="majorHAnsi" w:eastAsiaTheme="majorEastAsia" w:hAnsiTheme="majorHAnsi" w:cstheme="majorBidi"/>
      <w:b/>
      <w:bCs/>
      <w:kern w:val="2"/>
      <w:sz w:val="32"/>
      <w:szCs w:val="32"/>
    </w:rPr>
  </w:style>
  <w:style w:type="character" w:styleId="a9">
    <w:name w:val="Strong"/>
    <w:basedOn w:val="a0"/>
    <w:uiPriority w:val="22"/>
    <w:qFormat/>
    <w:rsid w:val="009A6FBE"/>
    <w:rPr>
      <w:b/>
      <w:bCs/>
    </w:rPr>
  </w:style>
  <w:style w:type="character" w:customStyle="1" w:styleId="20">
    <w:name w:val="标题 2 字符"/>
    <w:basedOn w:val="a0"/>
    <w:link w:val="2"/>
    <w:rsid w:val="00197626"/>
    <w:rPr>
      <w:rFonts w:asciiTheme="majorHAnsi" w:eastAsiaTheme="majorEastAsia" w:hAnsiTheme="majorHAnsi" w:cstheme="majorBidi"/>
      <w:b/>
      <w:bCs/>
      <w:kern w:val="2"/>
      <w:sz w:val="32"/>
      <w:szCs w:val="32"/>
    </w:rPr>
  </w:style>
  <w:style w:type="paragraph" w:styleId="aa">
    <w:name w:val="Subtitle"/>
    <w:basedOn w:val="a"/>
    <w:next w:val="a"/>
    <w:link w:val="ab"/>
    <w:qFormat/>
    <w:rsid w:val="00197626"/>
    <w:pPr>
      <w:spacing w:before="240" w:after="60" w:line="312" w:lineRule="auto"/>
      <w:jc w:val="center"/>
      <w:outlineLvl w:val="1"/>
    </w:pPr>
    <w:rPr>
      <w:b/>
      <w:bCs/>
      <w:kern w:val="28"/>
      <w:sz w:val="32"/>
      <w:szCs w:val="32"/>
    </w:rPr>
  </w:style>
  <w:style w:type="character" w:customStyle="1" w:styleId="ab">
    <w:name w:val="副标题 字符"/>
    <w:basedOn w:val="a0"/>
    <w:link w:val="aa"/>
    <w:rsid w:val="00197626"/>
    <w:rPr>
      <w:b/>
      <w:bCs/>
      <w:kern w:val="28"/>
      <w:sz w:val="32"/>
      <w:szCs w:val="32"/>
    </w:rPr>
  </w:style>
  <w:style w:type="character" w:styleId="ac">
    <w:name w:val="Hyperlink"/>
    <w:basedOn w:val="a0"/>
    <w:rsid w:val="0066479D"/>
    <w:rPr>
      <w:color w:val="0026E5" w:themeColor="hyperlink"/>
      <w:u w:val="single"/>
    </w:rPr>
  </w:style>
  <w:style w:type="character" w:styleId="ad">
    <w:name w:val="Unresolved Mention"/>
    <w:basedOn w:val="a0"/>
    <w:uiPriority w:val="99"/>
    <w:semiHidden/>
    <w:unhideWhenUsed/>
    <w:rsid w:val="0066479D"/>
    <w:rPr>
      <w:color w:val="605E5C"/>
      <w:shd w:val="clear" w:color="auto" w:fill="E1DFDD"/>
    </w:rPr>
  </w:style>
  <w:style w:type="character" w:styleId="ae">
    <w:name w:val="FollowedHyperlink"/>
    <w:basedOn w:val="a0"/>
    <w:rsid w:val="0066479D"/>
    <w:rPr>
      <w:color w:val="7E1FAD" w:themeColor="followedHyperlink"/>
      <w:u w:val="single"/>
    </w:rPr>
  </w:style>
  <w:style w:type="character" w:customStyle="1" w:styleId="30">
    <w:name w:val="标题 3 字符"/>
    <w:basedOn w:val="a0"/>
    <w:link w:val="3"/>
    <w:semiHidden/>
    <w:rsid w:val="008D056E"/>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276</TotalTime>
  <Pages>8</Pages>
  <Words>3238</Words>
  <Characters>3434</Characters>
  <Application>Microsoft Office Word</Application>
  <DocSecurity>0</DocSecurity>
  <Lines>149</Lines>
  <Paragraphs>88</Paragraphs>
  <ScaleCrop>false</ScaleCrop>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hr c</cp:lastModifiedBy>
  <cp:revision>25</cp:revision>
  <dcterms:created xsi:type="dcterms:W3CDTF">2025-06-04T14:08:00Z</dcterms:created>
  <dcterms:modified xsi:type="dcterms:W3CDTF">2025-12-27T10:07:00Z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