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C4AC" w14:textId="2C073FF2" w:rsidR="00AA627D" w:rsidRPr="00AA627D" w:rsidRDefault="00AA627D" w:rsidP="00AA627D">
      <w:pPr>
        <w:pStyle w:val="Subtitle"/>
        <w:rPr>
          <w:rStyle w:val="Hyperlink"/>
          <w:b/>
          <w:bCs/>
          <w:i/>
          <w:iCs/>
          <w:spacing w:val="5"/>
        </w:rPr>
      </w:pPr>
      <w:r>
        <w:rPr>
          <w:spacing w:val="5"/>
        </w:rPr>
        <w:fldChar w:fldCharType="begin"/>
      </w:r>
      <w:r>
        <w:rPr>
          <w:spacing w:val="5"/>
        </w:rPr>
        <w:instrText>HYPERLINK "https://fred.stlouisfed.org/graph/?g=1iTKv"</w:instrText>
      </w:r>
      <w:r>
        <w:rPr>
          <w:spacing w:val="5"/>
        </w:rPr>
      </w:r>
      <w:r>
        <w:rPr>
          <w:spacing w:val="5"/>
        </w:rPr>
        <w:fldChar w:fldCharType="separate"/>
      </w:r>
      <w:r w:rsidRPr="00E01A19">
        <w:rPr>
          <w:rStyle w:val="Hyperlink"/>
          <w:b/>
          <w:bCs/>
          <w:spacing w:val="5"/>
        </w:rPr>
        <w:t>Labor’s real value-added vs stock market performance:</w:t>
      </w:r>
      <w:r w:rsidRPr="00AA627D">
        <w:rPr>
          <w:rStyle w:val="Hyperlink"/>
          <w:b/>
          <w:bCs/>
          <w:spacing w:val="5"/>
        </w:rPr>
        <w:t xml:space="preserve"> </w:t>
      </w:r>
      <w:r w:rsidRPr="00E01A19">
        <w:rPr>
          <w:rStyle w:val="Hyperlink"/>
          <w:b/>
          <w:bCs/>
          <w:spacing w:val="5"/>
          <w:highlight w:val="green"/>
        </w:rPr>
        <w:t>Long-term Signal</w:t>
      </w:r>
    </w:p>
    <w:p w14:paraId="72FBD585" w14:textId="440E82C8" w:rsidR="00AA627D" w:rsidRDefault="00AA627D" w:rsidP="00E01A19">
      <w:pPr>
        <w:pStyle w:val="ListParagraph"/>
        <w:numPr>
          <w:ilvl w:val="0"/>
          <w:numId w:val="2"/>
        </w:numPr>
        <w:spacing w:after="0" w:line="240" w:lineRule="auto"/>
      </w:pPr>
      <w:r>
        <w:rPr>
          <w:color w:val="5A5A5A" w:themeColor="text1" w:themeTint="A5"/>
          <w:spacing w:val="5"/>
        </w:rPr>
        <w:fldChar w:fldCharType="end"/>
      </w:r>
      <w:r>
        <w:t xml:space="preserve">Real value-added output = the </w:t>
      </w:r>
      <w:r w:rsidRPr="00AA627D">
        <w:t>output produced that has been adjusted for changes in inventory (gross output) and the removal of intermediate inputs (energy, material, and services).</w:t>
      </w:r>
    </w:p>
    <w:p w14:paraId="423B43C1" w14:textId="77777777" w:rsidR="00AA627D" w:rsidRDefault="00AA627D" w:rsidP="00E01A19">
      <w:pPr>
        <w:pStyle w:val="NormalWeb"/>
        <w:spacing w:after="0" w:afterAutospacing="0"/>
        <w:ind w:left="360"/>
      </w:pPr>
      <w:r>
        <w:rPr>
          <w:noProof/>
        </w:rPr>
        <w:drawing>
          <wp:inline distT="0" distB="0" distL="0" distR="0" wp14:anchorId="6C2CFC34" wp14:editId="14D4554C">
            <wp:extent cx="5280660" cy="1804670"/>
            <wp:effectExtent l="0" t="0" r="0" b="5080"/>
            <wp:docPr id="242695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99E4" w14:textId="2825EDE5" w:rsidR="003C409A" w:rsidRPr="00FB2140" w:rsidRDefault="00AA627D" w:rsidP="00FB2140">
      <w:pPr>
        <w:pStyle w:val="ListParagraph"/>
        <w:ind w:left="360"/>
        <w:rPr>
          <w:i/>
          <w:iCs/>
        </w:rPr>
      </w:pPr>
      <w:r w:rsidRPr="00030B6D">
        <w:rPr>
          <w:i/>
          <w:iCs/>
        </w:rPr>
        <w:t xml:space="preserve">If the real output growth from labor stays at or above 2%, the economy </w:t>
      </w:r>
      <w:r>
        <w:rPr>
          <w:i/>
          <w:iCs/>
        </w:rPr>
        <w:t xml:space="preserve">pie </w:t>
      </w:r>
      <w:r w:rsidRPr="00030B6D">
        <w:rPr>
          <w:i/>
          <w:iCs/>
        </w:rPr>
        <w:t xml:space="preserve">is </w:t>
      </w:r>
      <w:r>
        <w:rPr>
          <w:i/>
          <w:iCs/>
        </w:rPr>
        <w:t>growing bigger (</w:t>
      </w:r>
      <w:r w:rsidRPr="00030B6D">
        <w:rPr>
          <w:i/>
          <w:iCs/>
        </w:rPr>
        <w:t>expansion</w:t>
      </w:r>
      <w:r>
        <w:rPr>
          <w:i/>
          <w:iCs/>
        </w:rPr>
        <w:t>), that benefits U.S. workers and drives</w:t>
      </w:r>
      <w:r w:rsidR="008D0938">
        <w:rPr>
          <w:i/>
          <w:iCs/>
        </w:rPr>
        <w:t xml:space="preserve"> up</w:t>
      </w:r>
      <w:r>
        <w:rPr>
          <w:i/>
          <w:iCs/>
        </w:rPr>
        <w:t xml:space="preserve"> consumptions. T</w:t>
      </w:r>
      <w:r w:rsidRPr="00030B6D">
        <w:rPr>
          <w:i/>
          <w:iCs/>
        </w:rPr>
        <w:t>h</w:t>
      </w:r>
      <w:r>
        <w:rPr>
          <w:i/>
          <w:iCs/>
        </w:rPr>
        <w:t>us,</w:t>
      </w:r>
      <w:r w:rsidRPr="00030B6D">
        <w:rPr>
          <w:i/>
          <w:iCs/>
        </w:rPr>
        <w:t xml:space="preserve"> stock market </w:t>
      </w:r>
      <w:r>
        <w:rPr>
          <w:i/>
          <w:iCs/>
        </w:rPr>
        <w:t>should be</w:t>
      </w:r>
      <w:r w:rsidRPr="00030B6D">
        <w:rPr>
          <w:i/>
          <w:iCs/>
        </w:rPr>
        <w:t xml:space="preserve"> trending higher </w:t>
      </w:r>
      <w:r>
        <w:rPr>
          <w:i/>
          <w:iCs/>
        </w:rPr>
        <w:t>(</w:t>
      </w:r>
      <w:r w:rsidRPr="00030B6D">
        <w:rPr>
          <w:i/>
          <w:iCs/>
        </w:rPr>
        <w:t>than last year</w:t>
      </w:r>
      <w:r>
        <w:rPr>
          <w:i/>
          <w:iCs/>
        </w:rPr>
        <w:t>)</w:t>
      </w:r>
      <w:r w:rsidRPr="00030B6D">
        <w:rPr>
          <w:i/>
          <w:iCs/>
        </w:rPr>
        <w:t>.</w:t>
      </w:r>
    </w:p>
    <w:p w14:paraId="650A9D3F" w14:textId="11E7FF9A" w:rsidR="005613C6" w:rsidRPr="00E01A19" w:rsidRDefault="00000000" w:rsidP="005613C6">
      <w:pPr>
        <w:pStyle w:val="Subtitle"/>
        <w:rPr>
          <w:b/>
          <w:bCs/>
          <w:i/>
          <w:iCs/>
          <w:spacing w:val="5"/>
        </w:rPr>
      </w:pPr>
      <w:hyperlink r:id="rId7" w:history="1">
        <w:r w:rsidR="000B2EE9" w:rsidRPr="00E01A19">
          <w:rPr>
            <w:rStyle w:val="Hyperlink"/>
            <w:b/>
            <w:bCs/>
            <w:spacing w:val="5"/>
          </w:rPr>
          <w:t>Labor Wage and Productivity</w:t>
        </w:r>
      </w:hyperlink>
      <w:r w:rsidR="00046A82" w:rsidRPr="00E01A19">
        <w:rPr>
          <w:rStyle w:val="Hyperlink"/>
          <w:b/>
          <w:bCs/>
          <w:spacing w:val="5"/>
        </w:rPr>
        <w:t xml:space="preserve">: </w:t>
      </w:r>
    </w:p>
    <w:p w14:paraId="4E7441E4" w14:textId="05412A0E" w:rsidR="000B2EE9" w:rsidRDefault="000B2EE9" w:rsidP="000B2EE9">
      <w:pPr>
        <w:pStyle w:val="ListParagraph"/>
        <w:numPr>
          <w:ilvl w:val="0"/>
          <w:numId w:val="2"/>
        </w:numPr>
      </w:pPr>
      <w:r>
        <w:t xml:space="preserve">Productivity = </w:t>
      </w:r>
      <w:r w:rsidR="001029B7">
        <w:t>real GDP / total # of hours</w:t>
      </w:r>
    </w:p>
    <w:p w14:paraId="6CEF100F" w14:textId="4C932FF6" w:rsidR="000B2EE9" w:rsidRDefault="001029B7" w:rsidP="006A36DF">
      <w:pPr>
        <w:pStyle w:val="ListParagraph"/>
        <w:numPr>
          <w:ilvl w:val="0"/>
          <w:numId w:val="2"/>
        </w:numPr>
      </w:pPr>
      <w:r>
        <w:t>Hourly w</w:t>
      </w:r>
      <w:r w:rsidR="000B2EE9">
        <w:t xml:space="preserve">age scaled by CPI </w:t>
      </w:r>
      <w:r w:rsidR="006A36DF">
        <w:t>(</w:t>
      </w:r>
      <w:r w:rsidR="000B2EE9">
        <w:t>consumers’ purchasing power</w:t>
      </w:r>
      <w:r w:rsidR="006A36DF">
        <w:t xml:space="preserve">) vs. </w:t>
      </w:r>
      <w:r>
        <w:t>Hourly w</w:t>
      </w:r>
      <w:r w:rsidR="000B2EE9">
        <w:t>age scaled by PPI</w:t>
      </w:r>
      <w:r w:rsidR="005613C6">
        <w:t xml:space="preserve"> / GDP price deflator</w:t>
      </w:r>
      <w:r w:rsidR="006A36DF">
        <w:t xml:space="preserve"> (</w:t>
      </w:r>
      <w:r>
        <w:t>business</w:t>
      </w:r>
      <w:r w:rsidR="005E3BC5">
        <w:t>es</w:t>
      </w:r>
      <w:r>
        <w:t xml:space="preserve"> </w:t>
      </w:r>
      <w:r w:rsidR="005E3BC5">
        <w:t>assess</w:t>
      </w:r>
      <w:r>
        <w:t xml:space="preserve"> how to allocate resources to factors of production</w:t>
      </w:r>
      <w:r w:rsidR="000B2EE9">
        <w:t xml:space="preserve"> (i.e. capital, intermediates</w:t>
      </w:r>
      <w:r w:rsidR="00FB2140">
        <w:t>, commodities</w:t>
      </w:r>
      <w:r w:rsidR="000B2EE9">
        <w:t>)</w:t>
      </w:r>
    </w:p>
    <w:p w14:paraId="12662751" w14:textId="645ECEFE" w:rsidR="005613C6" w:rsidRDefault="005613C6" w:rsidP="005613C6">
      <w:pPr>
        <w:pStyle w:val="ListParagraph"/>
        <w:ind w:left="360"/>
      </w:pPr>
      <w:r>
        <w:rPr>
          <w:noProof/>
        </w:rPr>
        <w:drawing>
          <wp:inline distT="0" distB="0" distL="0" distR="0" wp14:anchorId="2437C210" wp14:editId="7C476AB0">
            <wp:extent cx="5334000" cy="1823067"/>
            <wp:effectExtent l="0" t="0" r="0" b="6350"/>
            <wp:docPr id="1991979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48" cy="18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1C34" w14:textId="16FE1ADB" w:rsidR="008A24AE" w:rsidRDefault="00A56676" w:rsidP="00AA627D">
      <w:pPr>
        <w:pStyle w:val="ListParagraph"/>
        <w:ind w:left="360"/>
        <w:rPr>
          <w:i/>
          <w:iCs/>
        </w:rPr>
      </w:pPr>
      <w:r w:rsidRPr="00030B6D">
        <w:rPr>
          <w:i/>
          <w:iCs/>
        </w:rPr>
        <w:t>US workers only partially benefitted from the increases in their productivity since the 1970s, as the labor productivity (real GDP/</w:t>
      </w:r>
      <w:r w:rsidR="00E659AA" w:rsidRPr="00030B6D">
        <w:rPr>
          <w:i/>
          <w:iCs/>
        </w:rPr>
        <w:t xml:space="preserve"># hours, red) </w:t>
      </w:r>
      <w:r w:rsidRPr="00030B6D">
        <w:rPr>
          <w:i/>
          <w:iCs/>
        </w:rPr>
        <w:t xml:space="preserve">is diverging from the </w:t>
      </w:r>
      <w:r w:rsidR="00E659AA" w:rsidRPr="00030B6D">
        <w:rPr>
          <w:i/>
          <w:iCs/>
        </w:rPr>
        <w:t>real pay</w:t>
      </w:r>
      <w:r w:rsidR="006A36DF" w:rsidRPr="00030B6D">
        <w:rPr>
          <w:i/>
          <w:iCs/>
        </w:rPr>
        <w:t>.</w:t>
      </w:r>
    </w:p>
    <w:p w14:paraId="13FCCC99" w14:textId="77777777" w:rsidR="00FB2140" w:rsidRDefault="00FB2140" w:rsidP="00AA627D">
      <w:pPr>
        <w:pStyle w:val="ListParagraph"/>
        <w:ind w:left="360"/>
        <w:rPr>
          <w:i/>
          <w:iCs/>
        </w:rPr>
      </w:pPr>
    </w:p>
    <w:p w14:paraId="522437E4" w14:textId="77777777" w:rsidR="00FB2140" w:rsidRPr="00AA627D" w:rsidRDefault="00FB2140" w:rsidP="00FB2140">
      <w:pPr>
        <w:pStyle w:val="Subtitle"/>
        <w:rPr>
          <w:rStyle w:val="Hyperlink"/>
          <w:b/>
          <w:bCs/>
          <w:i/>
          <w:iCs/>
          <w:spacing w:val="5"/>
        </w:rPr>
      </w:pPr>
      <w:r>
        <w:rPr>
          <w:spacing w:val="5"/>
        </w:rPr>
        <w:fldChar w:fldCharType="begin"/>
      </w:r>
      <w:r>
        <w:rPr>
          <w:spacing w:val="5"/>
        </w:rPr>
        <w:instrText>HYPERLINK "https://fred.stlouisfed.org/graph/?g=1iTSU"</w:instrText>
      </w:r>
      <w:r>
        <w:rPr>
          <w:spacing w:val="5"/>
        </w:rPr>
      </w:r>
      <w:r>
        <w:rPr>
          <w:spacing w:val="5"/>
        </w:rPr>
        <w:fldChar w:fldCharType="separate"/>
      </w:r>
      <w:r w:rsidRPr="00AA627D">
        <w:rPr>
          <w:rStyle w:val="Hyperlink"/>
          <w:b/>
          <w:bCs/>
          <w:spacing w:val="5"/>
        </w:rPr>
        <w:t>Labor Supply x Demand:</w:t>
      </w:r>
    </w:p>
    <w:p w14:paraId="52810D87" w14:textId="77777777" w:rsidR="00FB2140" w:rsidRDefault="00FB2140" w:rsidP="00FB2140">
      <w:pPr>
        <w:pStyle w:val="ListParagraph"/>
        <w:numPr>
          <w:ilvl w:val="0"/>
          <w:numId w:val="1"/>
        </w:numPr>
        <w:spacing w:after="0"/>
      </w:pPr>
      <w:r>
        <w:rPr>
          <w:color w:val="5A5A5A" w:themeColor="text1" w:themeTint="A5"/>
          <w:spacing w:val="5"/>
        </w:rPr>
        <w:fldChar w:fldCharType="end"/>
      </w:r>
      <w:r>
        <w:t>Supply = Civilian Labor Force Level vs.  Demand = Employment Level + Job Openings</w:t>
      </w:r>
    </w:p>
    <w:p w14:paraId="3BF0DCDE" w14:textId="77777777" w:rsidR="00FB2140" w:rsidRDefault="00FB2140" w:rsidP="00FB2140">
      <w:pPr>
        <w:pStyle w:val="NormalWeb"/>
        <w:spacing w:after="0" w:afterAutospacing="0"/>
        <w:ind w:left="360"/>
      </w:pPr>
      <w:r>
        <w:rPr>
          <w:noProof/>
        </w:rPr>
        <w:drawing>
          <wp:inline distT="0" distB="0" distL="0" distR="0" wp14:anchorId="5A86C773" wp14:editId="7984F211">
            <wp:extent cx="5318760" cy="1818228"/>
            <wp:effectExtent l="0" t="0" r="0" b="0"/>
            <wp:docPr id="1108428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43" cy="18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0EE9" w14:textId="77777777" w:rsidR="00FB2140" w:rsidRPr="00030B6D" w:rsidRDefault="00FB2140" w:rsidP="00FB2140">
      <w:pPr>
        <w:spacing w:after="0"/>
        <w:ind w:left="360"/>
        <w:rPr>
          <w:i/>
          <w:iCs/>
        </w:rPr>
      </w:pPr>
      <w:r w:rsidRPr="00030B6D">
        <w:rPr>
          <w:i/>
          <w:iCs/>
        </w:rPr>
        <w:t>There’s labor shortage as demand(blue) &gt; supply(red), creating upward wage pressure, despite its dwindling recently.</w:t>
      </w:r>
    </w:p>
    <w:p w14:paraId="4482B0F5" w14:textId="5FD47222" w:rsidR="00FB2140" w:rsidRDefault="00B917DD" w:rsidP="00B917DD">
      <w:pPr>
        <w:rPr>
          <w:b/>
          <w:bCs/>
          <w:color w:val="5A5A5A" w:themeColor="text1" w:themeTint="A5"/>
          <w:spacing w:val="5"/>
        </w:rPr>
      </w:pPr>
      <w:r w:rsidRPr="00B917DD">
        <w:rPr>
          <w:b/>
          <w:bCs/>
          <w:color w:val="5A5A5A" w:themeColor="text1" w:themeTint="A5"/>
          <w:spacing w:val="5"/>
        </w:rPr>
        <w:br w:type="page"/>
      </w:r>
      <w:r w:rsidR="00195B6F" w:rsidRPr="00B917DD">
        <w:rPr>
          <w:b/>
          <w:bCs/>
          <w:noProof/>
          <w:color w:val="0563C1" w:themeColor="hyperlink"/>
          <w:spacing w:val="5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2A403F8" wp14:editId="3C91BEE7">
            <wp:simplePos x="0" y="0"/>
            <wp:positionH relativeFrom="margin">
              <wp:posOffset>3023325</wp:posOffset>
            </wp:positionH>
            <wp:positionV relativeFrom="paragraph">
              <wp:posOffset>65133</wp:posOffset>
            </wp:positionV>
            <wp:extent cx="3767455" cy="2176780"/>
            <wp:effectExtent l="0" t="0" r="4445" b="0"/>
            <wp:wrapTight wrapText="bothSides">
              <wp:wrapPolygon edited="0">
                <wp:start x="0" y="0"/>
                <wp:lineTo x="0" y="21361"/>
                <wp:lineTo x="21516" y="21361"/>
                <wp:lineTo x="21516" y="0"/>
                <wp:lineTo x="0" y="0"/>
              </wp:wrapPolygon>
            </wp:wrapTight>
            <wp:docPr id="128850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006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B917DD">
          <w:rPr>
            <w:rStyle w:val="Hyperlink"/>
            <w:b/>
            <w:bCs/>
            <w:spacing w:val="5"/>
          </w:rPr>
          <w:t>Consumer Spending:</w:t>
        </w:r>
      </w:hyperlink>
      <w:r w:rsidR="00FF5A3A">
        <w:rPr>
          <w:b/>
          <w:bCs/>
          <w:color w:val="5A5A5A" w:themeColor="text1" w:themeTint="A5"/>
          <w:spacing w:val="5"/>
        </w:rPr>
        <w:t xml:space="preserve"> </w:t>
      </w:r>
      <w:r w:rsidR="00FF5A3A">
        <w:rPr>
          <w:b/>
          <w:bCs/>
          <w:color w:val="5A5A5A" w:themeColor="text1" w:themeTint="A5"/>
          <w:spacing w:val="5"/>
          <w:highlight w:val="green"/>
        </w:rPr>
        <w:t xml:space="preserve">Medium-term </w:t>
      </w:r>
      <w:r w:rsidRPr="00B917DD">
        <w:rPr>
          <w:b/>
          <w:bCs/>
          <w:color w:val="5A5A5A" w:themeColor="text1" w:themeTint="A5"/>
          <w:spacing w:val="5"/>
          <w:highlight w:val="green"/>
        </w:rPr>
        <w:t>signal</w:t>
      </w:r>
    </w:p>
    <w:p w14:paraId="61A6830C" w14:textId="02F4A33A" w:rsidR="00771035" w:rsidRPr="00771035" w:rsidRDefault="00771035" w:rsidP="00771035">
      <w:pPr>
        <w:spacing w:after="0"/>
        <w:rPr>
          <w:b/>
          <w:bCs/>
          <w:color w:val="0563C1" w:themeColor="hyperlink"/>
          <w:spacing w:val="5"/>
          <w:u w:val="single"/>
        </w:rPr>
      </w:pPr>
    </w:p>
    <w:p w14:paraId="185AB04E" w14:textId="19835EB1" w:rsidR="00495B90" w:rsidRDefault="00B917DD" w:rsidP="00B917DD">
      <w:pPr>
        <w:spacing w:after="0"/>
      </w:pPr>
      <w:r w:rsidRPr="00B917DD">
        <w:t>BEA publishes “Personal Income and Outlays”</w:t>
      </w:r>
      <w:r>
        <w:t xml:space="preserve"> monthly (e.g., Jan Report was released on Feb-29). </w:t>
      </w:r>
      <w:hyperlink r:id="rId12" w:history="1">
        <w:r w:rsidRPr="00B917DD">
          <w:rPr>
            <w:rStyle w:val="Hyperlink"/>
          </w:rPr>
          <w:t>Looking at previously published reports</w:t>
        </w:r>
      </w:hyperlink>
      <w:r>
        <w:t xml:space="preserve"> can provide some trending analysis on consumer spending. </w:t>
      </w:r>
    </w:p>
    <w:p w14:paraId="749087B9" w14:textId="4404FD99" w:rsidR="00495B90" w:rsidRDefault="00495B90" w:rsidP="00B917DD">
      <w:pPr>
        <w:spacing w:after="0"/>
      </w:pPr>
    </w:p>
    <w:p w14:paraId="642ED8E2" w14:textId="2DF619EA" w:rsidR="00195B6F" w:rsidRDefault="00195B6F" w:rsidP="00B917DD">
      <w:pPr>
        <w:spacing w:after="0"/>
      </w:pPr>
    </w:p>
    <w:p w14:paraId="2B59191A" w14:textId="77777777" w:rsidR="00195B6F" w:rsidRDefault="00195B6F" w:rsidP="00B917DD">
      <w:pPr>
        <w:spacing w:after="0"/>
      </w:pPr>
    </w:p>
    <w:p w14:paraId="2F928726" w14:textId="77777777" w:rsidR="00195B6F" w:rsidRDefault="00195B6F" w:rsidP="00B917DD">
      <w:pPr>
        <w:spacing w:after="0"/>
      </w:pPr>
    </w:p>
    <w:p w14:paraId="719A10DA" w14:textId="77777777" w:rsidR="00195B6F" w:rsidRDefault="00195B6F" w:rsidP="00B917DD">
      <w:pPr>
        <w:spacing w:after="0"/>
      </w:pPr>
    </w:p>
    <w:p w14:paraId="462BE0C6" w14:textId="77777777" w:rsidR="00195B6F" w:rsidRDefault="00195B6F" w:rsidP="00B917DD">
      <w:pPr>
        <w:spacing w:after="0"/>
      </w:pPr>
    </w:p>
    <w:p w14:paraId="12748AAB" w14:textId="06DCF30A" w:rsidR="00597AD7" w:rsidRDefault="00597AD7" w:rsidP="00B917DD">
      <w:pPr>
        <w:spacing w:after="0"/>
      </w:pPr>
      <w:hyperlink r:id="rId13" w:anchor="eyJhcHBpZCI6MTksInN0ZXBzIjpbMSwyLDNdLCJkYXRhIjpbWyJjYXRlZ29yaWVzIiwiU3VydmV5Il0sWyJOSVBBX1RhYmxlX0xpc3QiLCI4MiJdXX0=" w:history="1">
        <w:r w:rsidRPr="00597AD7">
          <w:rPr>
            <w:rStyle w:val="Hyperlink"/>
          </w:rPr>
          <w:t>Table 2.8.x</w:t>
        </w:r>
      </w:hyperlink>
      <w:r>
        <w:t xml:space="preserve"> </w:t>
      </w:r>
      <w:r w:rsidRPr="00597AD7">
        <w:t>Personal Consumption Expenditures by Major Type of Product, Monthly</w:t>
      </w:r>
      <w:r>
        <w:t xml:space="preserve">, </w:t>
      </w:r>
    </w:p>
    <w:p w14:paraId="5A9D6B99" w14:textId="357D280B" w:rsidR="00075662" w:rsidRDefault="00075662" w:rsidP="00B917DD">
      <w:pPr>
        <w:spacing w:after="0"/>
      </w:pPr>
      <w:r>
        <w:tab/>
        <w:t xml:space="preserve">Major type of product is like </w:t>
      </w:r>
      <w:r>
        <w:rPr>
          <w:rFonts w:ascii="Segoe UI" w:hAnsi="Segoe UI" w:cs="Segoe UI"/>
          <w:b/>
          <w:bCs/>
          <w:color w:val="4F4F4F"/>
          <w:sz w:val="23"/>
          <w:szCs w:val="23"/>
          <w:shd w:val="clear" w:color="auto" w:fill="FFFFFF"/>
        </w:rPr>
        <w:t>Motor vehicles and parts</w:t>
      </w:r>
      <w:r>
        <w:rPr>
          <w:rFonts w:ascii="Segoe UI" w:hAnsi="Segoe UI" w:cs="Segoe UI"/>
          <w:b/>
          <w:bCs/>
          <w:color w:val="4F4F4F"/>
          <w:sz w:val="23"/>
          <w:szCs w:val="23"/>
          <w:shd w:val="clear" w:color="auto" w:fill="FFFFFF"/>
        </w:rPr>
        <w:t xml:space="preserve"> - </w:t>
      </w:r>
      <w:r>
        <w:rPr>
          <w:rFonts w:ascii="Segoe UI" w:hAnsi="Segoe UI" w:cs="Segoe UI"/>
          <w:b/>
          <w:bCs/>
          <w:color w:val="4F4F4F"/>
          <w:sz w:val="23"/>
          <w:szCs w:val="23"/>
          <w:shd w:val="clear" w:color="auto" w:fill="FFFFFF"/>
        </w:rPr>
        <w:t>Durable goods</w:t>
      </w:r>
    </w:p>
    <w:p w14:paraId="272D1A65" w14:textId="4C2AA099" w:rsidR="00597AD7" w:rsidRDefault="00075662" w:rsidP="00B917DD">
      <w:pPr>
        <w:spacing w:after="0"/>
      </w:pPr>
      <w:hyperlink r:id="rId14" w:anchor="eyJhcHBpZCI6MTksInN0ZXBzIjpbMSwyLDNdLCJkYXRhIjpbWyJjYXRlZ29yaWVzIiwiU3VydmV5Il0sWyJOSVBBX1RhYmxlX0xpc3QiLCI3MCJdXX0=" w:history="1">
        <w:r w:rsidR="00597AD7" w:rsidRPr="00075662">
          <w:rPr>
            <w:rStyle w:val="Hyperlink"/>
          </w:rPr>
          <w:t>Table 2.4.x</w:t>
        </w:r>
      </w:hyperlink>
      <w:r w:rsidR="00597AD7">
        <w:t xml:space="preserve"> </w:t>
      </w:r>
      <w:r w:rsidR="00597AD7" w:rsidRPr="00075662">
        <w:t>Personal Consumption Expenditures by Type of Product</w:t>
      </w:r>
      <w:r w:rsidRPr="00075662">
        <w:t>, Quarterly</w:t>
      </w:r>
      <w:r w:rsidR="00597AD7" w:rsidRPr="00075662">
        <w:t xml:space="preserve"> </w:t>
      </w:r>
    </w:p>
    <w:p w14:paraId="46D2B2E1" w14:textId="77777777" w:rsidR="00075662" w:rsidRDefault="00075662" w:rsidP="00075662">
      <w:pPr>
        <w:spacing w:after="0"/>
      </w:pPr>
      <w:r>
        <w:tab/>
        <w:t xml:space="preserve">Type of product is like </w:t>
      </w:r>
      <w:proofErr w:type="gramStart"/>
      <w:r w:rsidRPr="00075662">
        <w:rPr>
          <w:rFonts w:ascii="Segoe UI" w:hAnsi="Segoe UI" w:cs="Segoe UI"/>
          <w:b/>
          <w:bCs/>
          <w:color w:val="4F4F4F"/>
          <w:sz w:val="23"/>
          <w:szCs w:val="23"/>
          <w:shd w:val="clear" w:color="auto" w:fill="FFFFFF"/>
        </w:rPr>
        <w:t>New</w:t>
      </w:r>
      <w:proofErr w:type="gramEnd"/>
      <w:r w:rsidRPr="00075662">
        <w:rPr>
          <w:rFonts w:ascii="Segoe UI" w:hAnsi="Segoe UI" w:cs="Segoe UI"/>
          <w:b/>
          <w:bCs/>
          <w:color w:val="4F4F4F"/>
          <w:sz w:val="23"/>
          <w:szCs w:val="23"/>
          <w:shd w:val="clear" w:color="auto" w:fill="FFFFFF"/>
        </w:rPr>
        <w:t xml:space="preserve"> motor vehicles</w:t>
      </w:r>
      <w:r w:rsidRPr="00075662">
        <w:rPr>
          <w:rFonts w:ascii="Segoe UI" w:hAnsi="Segoe UI" w:cs="Segoe UI"/>
          <w:b/>
          <w:bCs/>
          <w:color w:val="4F4F4F"/>
          <w:sz w:val="23"/>
          <w:szCs w:val="23"/>
          <w:shd w:val="clear" w:color="auto" w:fill="FFFFFF"/>
        </w:rPr>
        <w:t xml:space="preserve"> -</w:t>
      </w:r>
      <w:r>
        <w:rPr>
          <w:rFonts w:ascii="Segoe UI" w:hAnsi="Segoe UI" w:cs="Segoe UI"/>
          <w:color w:val="4F4F4F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4F4F4F"/>
          <w:sz w:val="23"/>
          <w:szCs w:val="23"/>
          <w:shd w:val="clear" w:color="auto" w:fill="FFFFFF"/>
        </w:rPr>
        <w:t>Motor vehicles and parts - Durable goods</w:t>
      </w:r>
    </w:p>
    <w:p w14:paraId="0D1E0CAB" w14:textId="77777777" w:rsidR="00FF5A3A" w:rsidRDefault="00FF5A3A" w:rsidP="00B917DD">
      <w:pPr>
        <w:spacing w:after="0"/>
      </w:pPr>
    </w:p>
    <w:p w14:paraId="235038DB" w14:textId="77777777" w:rsidR="00195B6F" w:rsidRDefault="00195B6F" w:rsidP="00B917DD">
      <w:pPr>
        <w:spacing w:after="0"/>
      </w:pPr>
    </w:p>
    <w:p w14:paraId="166B228D" w14:textId="3CEB82F3" w:rsidR="00FF5A3A" w:rsidRPr="00FF5A3A" w:rsidRDefault="00000000" w:rsidP="00B917DD">
      <w:pPr>
        <w:spacing w:after="0"/>
        <w:rPr>
          <w:b/>
          <w:bCs/>
        </w:rPr>
      </w:pPr>
      <w:hyperlink r:id="rId15" w:history="1">
        <w:r w:rsidR="00FF5A3A" w:rsidRPr="00FF5A3A">
          <w:rPr>
            <w:rStyle w:val="Hyperlink"/>
            <w:b/>
            <w:bCs/>
          </w:rPr>
          <w:t>Interest Rate</w:t>
        </w:r>
      </w:hyperlink>
      <w:r w:rsidR="00FF5A3A" w:rsidRPr="00FF5A3A">
        <w:rPr>
          <w:b/>
          <w:bCs/>
        </w:rPr>
        <w:t xml:space="preserve">: </w:t>
      </w:r>
      <w:r w:rsidR="00FF5A3A" w:rsidRPr="00FF5A3A">
        <w:rPr>
          <w:b/>
          <w:bCs/>
          <w:highlight w:val="green"/>
        </w:rPr>
        <w:t>Short-term signal</w:t>
      </w:r>
    </w:p>
    <w:p w14:paraId="554C75F4" w14:textId="674FB85E" w:rsidR="00495B90" w:rsidRPr="00305626" w:rsidRDefault="0042363C" w:rsidP="00305626">
      <w:pPr>
        <w:pStyle w:val="NormalWeb"/>
      </w:pPr>
      <w:r>
        <w:rPr>
          <w:noProof/>
        </w:rPr>
        <w:drawing>
          <wp:inline distT="0" distB="0" distL="0" distR="0" wp14:anchorId="72BD71EC" wp14:editId="496FDE70">
            <wp:extent cx="6324600" cy="2969634"/>
            <wp:effectExtent l="0" t="0" r="0" b="2540"/>
            <wp:docPr id="1690272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78" cy="298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B90" w:rsidRPr="00305626" w:rsidSect="00432A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3A"/>
    <w:multiLevelType w:val="hybridMultilevel"/>
    <w:tmpl w:val="54F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10804"/>
    <w:multiLevelType w:val="hybridMultilevel"/>
    <w:tmpl w:val="828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12E0"/>
    <w:multiLevelType w:val="hybridMultilevel"/>
    <w:tmpl w:val="9CEE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63EA7"/>
    <w:multiLevelType w:val="hybridMultilevel"/>
    <w:tmpl w:val="9F5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4920">
    <w:abstractNumId w:val="2"/>
  </w:num>
  <w:num w:numId="2" w16cid:durableId="1617252037">
    <w:abstractNumId w:val="1"/>
  </w:num>
  <w:num w:numId="3" w16cid:durableId="375853729">
    <w:abstractNumId w:val="3"/>
  </w:num>
  <w:num w:numId="4" w16cid:durableId="5926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9"/>
    <w:rsid w:val="00004106"/>
    <w:rsid w:val="00030B6D"/>
    <w:rsid w:val="00046A82"/>
    <w:rsid w:val="00075662"/>
    <w:rsid w:val="000B2EE9"/>
    <w:rsid w:val="001029B7"/>
    <w:rsid w:val="00147709"/>
    <w:rsid w:val="00195B6F"/>
    <w:rsid w:val="001F2B95"/>
    <w:rsid w:val="003037C8"/>
    <w:rsid w:val="00305626"/>
    <w:rsid w:val="003C409A"/>
    <w:rsid w:val="0042363C"/>
    <w:rsid w:val="00432A88"/>
    <w:rsid w:val="004357E5"/>
    <w:rsid w:val="00495B90"/>
    <w:rsid w:val="005613C6"/>
    <w:rsid w:val="00597AD7"/>
    <w:rsid w:val="005E3BC5"/>
    <w:rsid w:val="00645C01"/>
    <w:rsid w:val="006A36DF"/>
    <w:rsid w:val="00711F47"/>
    <w:rsid w:val="007131F7"/>
    <w:rsid w:val="00714A3E"/>
    <w:rsid w:val="00771035"/>
    <w:rsid w:val="008A24AE"/>
    <w:rsid w:val="008D0938"/>
    <w:rsid w:val="00962FBA"/>
    <w:rsid w:val="00A56676"/>
    <w:rsid w:val="00AA627D"/>
    <w:rsid w:val="00B06AB8"/>
    <w:rsid w:val="00B917DD"/>
    <w:rsid w:val="00B96CBC"/>
    <w:rsid w:val="00E01A19"/>
    <w:rsid w:val="00E659AA"/>
    <w:rsid w:val="00F01106"/>
    <w:rsid w:val="00F04C51"/>
    <w:rsid w:val="00FB2140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812"/>
  <w15:chartTrackingRefBased/>
  <w15:docId w15:val="{2C883F16-2737-4C0E-8BEC-37E6101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B2EE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B2EE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2E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red-notes-title">
    <w:name w:val="fred-notes-title"/>
    <w:basedOn w:val="DefaultParagraphFont"/>
    <w:rsid w:val="000B2EE9"/>
  </w:style>
  <w:style w:type="character" w:styleId="Hyperlink">
    <w:name w:val="Hyperlink"/>
    <w:basedOn w:val="DefaultParagraphFont"/>
    <w:uiPriority w:val="99"/>
    <w:unhideWhenUsed/>
    <w:rsid w:val="0056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red.stlouisfed.org/graph/?g=1iSBY" TargetMode="External"/><Relationship Id="rId12" Type="http://schemas.openxmlformats.org/officeDocument/2006/relationships/hyperlink" Target="https://www.bea.gov/news/archive?field_related_product_target_id=All&amp;created_1=All&amp;title=Personal+Income+and+Outlay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bea.gov/news/current-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d.stlouisfed.org/graph/?g=1eath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8C5F-925A-45E0-A15E-0F007AA7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19</cp:revision>
  <cp:lastPrinted>2024-03-25T21:27:00Z</cp:lastPrinted>
  <dcterms:created xsi:type="dcterms:W3CDTF">2024-03-24T20:33:00Z</dcterms:created>
  <dcterms:modified xsi:type="dcterms:W3CDTF">2024-04-07T20:30:00Z</dcterms:modified>
</cp:coreProperties>
</file>