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D71C" w14:textId="730FBF24" w:rsidR="00FF20AE" w:rsidRPr="00FF20AE" w:rsidRDefault="00FF20AE" w:rsidP="000E56A3">
      <w:pPr>
        <w:pStyle w:val="Heading1"/>
      </w:pPr>
      <w:r w:rsidRPr="00FF20AE">
        <w:t>Stock Market Analysis &amp; Screening Framework</w:t>
      </w:r>
      <w:r>
        <w:t>:</w:t>
      </w:r>
      <w:r w:rsidRPr="00FF20AE">
        <w:t xml:space="preserve"> a top-down approach</w:t>
      </w:r>
    </w:p>
    <w:p w14:paraId="1DF92BA9" w14:textId="77777777" w:rsidR="00FF20AE" w:rsidRPr="00FF20AE" w:rsidRDefault="00000000" w:rsidP="00FF20AE">
      <w:r>
        <w:pict w14:anchorId="1D52E988">
          <v:rect id="_x0000_i1025" style="width:0;height:1.5pt" o:hralign="center" o:hrstd="t" o:hr="t" fillcolor="#a0a0a0" stroked="f"/>
        </w:pict>
      </w:r>
    </w:p>
    <w:p w14:paraId="7B0CA7BD" w14:textId="77777777" w:rsidR="00FF20AE" w:rsidRPr="00FF20AE" w:rsidRDefault="00FF20AE" w:rsidP="000E56A3">
      <w:r w:rsidRPr="00FF20AE">
        <w:t>Step 1: Market Overview (Macroeconomic Analysis)</w:t>
      </w:r>
    </w:p>
    <w:p w14:paraId="2A79C34F" w14:textId="256F8C1C" w:rsidR="00FF20AE" w:rsidRPr="00FF20AE" w:rsidRDefault="00FF20AE" w:rsidP="00FF20AE">
      <w:pPr>
        <w:numPr>
          <w:ilvl w:val="0"/>
          <w:numId w:val="11"/>
        </w:numPr>
      </w:pPr>
      <w:r w:rsidRPr="00FF20AE">
        <w:rPr>
          <w:b/>
          <w:bCs/>
        </w:rPr>
        <w:t>Monitor Broad Market Sentiment (Daily)</w:t>
      </w:r>
    </w:p>
    <w:p w14:paraId="1C4665E6" w14:textId="77777777" w:rsid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FFT – Daily</w:t>
      </w:r>
      <w:r w:rsidRPr="00FF20AE">
        <w:t>: Look for any major shifts in financial flows and liquidity conditions.</w:t>
      </w:r>
    </w:p>
    <w:p w14:paraId="15ACE83B" w14:textId="0BC83707" w:rsidR="00A6428F" w:rsidRPr="00FF20AE" w:rsidRDefault="00A6428F" w:rsidP="00A6428F">
      <w:pPr>
        <w:numPr>
          <w:ilvl w:val="2"/>
          <w:numId w:val="11"/>
        </w:numPr>
      </w:pPr>
      <w:r w:rsidRPr="00A6428F">
        <w:drawing>
          <wp:inline distT="0" distB="0" distL="0" distR="0" wp14:anchorId="1AF3B986" wp14:editId="2344E560">
            <wp:extent cx="4435255" cy="2402840"/>
            <wp:effectExtent l="0" t="0" r="3810" b="0"/>
            <wp:docPr id="10025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8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123" cy="241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E4DF" w14:textId="77777777" w:rsid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SP500 Implied Correlation – Daily</w:t>
      </w:r>
      <w:r w:rsidRPr="00FF20AE">
        <w:t>: High correlation suggests risk-off sentiment; low correlation indicates stock-specific opportunities.</w:t>
      </w:r>
    </w:p>
    <w:p w14:paraId="05FE1347" w14:textId="77777777" w:rsidR="006D2E88" w:rsidRDefault="006D2E88" w:rsidP="006D2E88">
      <w:pPr>
        <w:numPr>
          <w:ilvl w:val="2"/>
          <w:numId w:val="11"/>
        </w:numPr>
      </w:pPr>
      <w:r w:rsidRPr="00236FCE">
        <w:rPr>
          <w:b/>
          <w:bCs/>
        </w:rPr>
        <w:t>L</w:t>
      </w:r>
      <w:r w:rsidRPr="00FF20AE">
        <w:rPr>
          <w:b/>
          <w:bCs/>
        </w:rPr>
        <w:t>ow correlation</w:t>
      </w:r>
      <w:r w:rsidRPr="00FF20AE">
        <w:t xml:space="preserve"> indicates stock-specific opportunities</w:t>
      </w:r>
      <w:r>
        <w:t xml:space="preserve"> (</w:t>
      </w:r>
      <w:r w:rsidRPr="00236FCE">
        <w:t>Move to industry-momentum and individual stock selection.</w:t>
      </w:r>
      <w:r>
        <w:t>)</w:t>
      </w:r>
      <w:r w:rsidRPr="00FF20AE">
        <w:t>.</w:t>
      </w:r>
    </w:p>
    <w:p w14:paraId="1767D90A" w14:textId="33E44F12" w:rsidR="006D2E88" w:rsidRDefault="006D2E88" w:rsidP="006D2E88">
      <w:pPr>
        <w:numPr>
          <w:ilvl w:val="2"/>
          <w:numId w:val="11"/>
        </w:numPr>
      </w:pPr>
      <w:r w:rsidRPr="00FF20AE">
        <w:rPr>
          <w:b/>
          <w:bCs/>
        </w:rPr>
        <w:t>High correlation</w:t>
      </w:r>
      <w:r w:rsidRPr="00FF20AE">
        <w:t xml:space="preserve"> suggests </w:t>
      </w:r>
      <w:r>
        <w:t>m</w:t>
      </w:r>
      <w:r w:rsidRPr="00236FCE">
        <w:t>arket-wide risks dominate; Focus on broad market indicators (CPI, PCE, GDP) and defensive positions</w:t>
      </w:r>
      <w:r w:rsidR="00A913C9">
        <w:t xml:space="preserve"> (Consumer Staples, Health Care, Utilities)</w:t>
      </w:r>
      <w:r w:rsidRPr="00236FCE">
        <w:t>.</w:t>
      </w:r>
    </w:p>
    <w:p w14:paraId="5A0F5923" w14:textId="77777777" w:rsidR="00A6428F" w:rsidRPr="00A6428F" w:rsidRDefault="006D2E88" w:rsidP="00A913C9">
      <w:pPr>
        <w:numPr>
          <w:ilvl w:val="3"/>
          <w:numId w:val="16"/>
        </w:numPr>
      </w:pPr>
      <w:r>
        <w:rPr>
          <w:b/>
          <w:bCs/>
        </w:rPr>
        <w:t xml:space="preserve">Exception: </w:t>
      </w:r>
    </w:p>
    <w:p w14:paraId="5E7FF633" w14:textId="182EE4E1" w:rsidR="006D2E88" w:rsidRPr="00FF20AE" w:rsidRDefault="006D2E88" w:rsidP="00A6428F">
      <w:pPr>
        <w:ind w:left="2880"/>
      </w:pPr>
      <w:r w:rsidRPr="006D2E88">
        <w:rPr>
          <w:b/>
          <w:bCs/>
          <w:noProof/>
        </w:rPr>
        <w:drawing>
          <wp:inline distT="0" distB="0" distL="0" distR="0" wp14:anchorId="33879231" wp14:editId="6911EF46">
            <wp:extent cx="4343400" cy="2508687"/>
            <wp:effectExtent l="0" t="0" r="0" b="6350"/>
            <wp:docPr id="167848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1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999" cy="252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2152" w14:textId="77777777" w:rsidR="00FF20AE" w:rsidRPr="00FF20AE" w:rsidRDefault="00FF20AE" w:rsidP="00FF20AE">
      <w:pPr>
        <w:numPr>
          <w:ilvl w:val="0"/>
          <w:numId w:val="11"/>
        </w:numPr>
      </w:pPr>
      <w:r w:rsidRPr="00FF20AE">
        <w:rPr>
          <w:b/>
          <w:bCs/>
        </w:rPr>
        <w:lastRenderedPageBreak/>
        <w:t>Assess Key Monthly Economic Indicators</w:t>
      </w:r>
    </w:p>
    <w:p w14:paraId="63570640" w14:textId="77777777" w:rsidR="00FF20AE" w:rsidRP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Unemployment (UE – Monthly, Beginning)</w:t>
      </w:r>
      <w:r w:rsidRPr="00FF20AE">
        <w:t>: Rising unemployment may indicate economic slowdown.</w:t>
      </w:r>
    </w:p>
    <w:p w14:paraId="1C97BFAF" w14:textId="77777777" w:rsidR="00FF20AE" w:rsidRP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Consumer Price Index (CPI – Mid-Month)</w:t>
      </w:r>
      <w:r w:rsidRPr="00FF20AE">
        <w:t>:</w:t>
      </w:r>
    </w:p>
    <w:p w14:paraId="04A16EC6" w14:textId="77777777" w:rsidR="00FF20AE" w:rsidRPr="00FF20AE" w:rsidRDefault="00FF20AE" w:rsidP="00FF20AE">
      <w:pPr>
        <w:numPr>
          <w:ilvl w:val="2"/>
          <w:numId w:val="11"/>
        </w:numPr>
      </w:pPr>
      <w:r w:rsidRPr="00FF20AE">
        <w:t>General CPI: Inflation trends affecting interest rates and consumer purchasing power.</w:t>
      </w:r>
    </w:p>
    <w:p w14:paraId="40235F5F" w14:textId="77777777" w:rsidR="00FF20AE" w:rsidRPr="00FF20AE" w:rsidRDefault="00FF20AE" w:rsidP="00FF20AE">
      <w:pPr>
        <w:numPr>
          <w:ilvl w:val="2"/>
          <w:numId w:val="11"/>
        </w:numPr>
      </w:pPr>
      <w:r w:rsidRPr="00FF20AE">
        <w:rPr>
          <w:b/>
          <w:bCs/>
        </w:rPr>
        <w:t>CPI Auto | Leisure-related</w:t>
      </w:r>
      <w:r w:rsidRPr="00FF20AE">
        <w:t>: Insight into consumer discretionary spending.</w:t>
      </w:r>
    </w:p>
    <w:p w14:paraId="280E9741" w14:textId="77777777" w:rsidR="00FF20AE" w:rsidRP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Industrial Production (Ind. Prod – 3rd Week)</w:t>
      </w:r>
      <w:r w:rsidRPr="00FF20AE">
        <w:t>: Measures economic activity in manufacturing and production sectors.</w:t>
      </w:r>
    </w:p>
    <w:p w14:paraId="52CD66FD" w14:textId="77777777" w:rsidR="00FF20AE" w:rsidRP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Personal Consumption Expenditures (PCE – End of Month)</w:t>
      </w:r>
      <w:r w:rsidRPr="00FF20AE">
        <w:t>:</w:t>
      </w:r>
    </w:p>
    <w:p w14:paraId="2CF4D19A" w14:textId="77777777" w:rsidR="00FF20AE" w:rsidRPr="00FF20AE" w:rsidRDefault="00FF20AE" w:rsidP="00FF20AE">
      <w:pPr>
        <w:numPr>
          <w:ilvl w:val="2"/>
          <w:numId w:val="11"/>
        </w:numPr>
      </w:pPr>
      <w:r w:rsidRPr="00FF20AE">
        <w:rPr>
          <w:b/>
          <w:bCs/>
        </w:rPr>
        <w:t>PCE – DD</w:t>
      </w:r>
      <w:r w:rsidRPr="00FF20AE">
        <w:t>: Deeper breakdown of consumer spending trends.</w:t>
      </w:r>
    </w:p>
    <w:p w14:paraId="4719C4AE" w14:textId="77777777" w:rsidR="00FF20AE" w:rsidRPr="00FF20AE" w:rsidRDefault="00FF20AE" w:rsidP="00FF20AE">
      <w:pPr>
        <w:numPr>
          <w:ilvl w:val="0"/>
          <w:numId w:val="11"/>
        </w:numPr>
      </w:pPr>
      <w:r w:rsidRPr="00FF20AE">
        <w:rPr>
          <w:b/>
          <w:bCs/>
        </w:rPr>
        <w:t>Quarterly Economic Trends</w:t>
      </w:r>
    </w:p>
    <w:p w14:paraId="429B28D8" w14:textId="77777777" w:rsidR="00FF20AE" w:rsidRP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Real GDP (RGDP – End of Quarter)</w:t>
      </w:r>
      <w:r w:rsidRPr="00FF20AE">
        <w:t>: Determines overall economic growth.</w:t>
      </w:r>
    </w:p>
    <w:p w14:paraId="557AB3F2" w14:textId="1B42B5E1" w:rsidR="00FF20AE" w:rsidRP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Labor Productivity (Quarter Begin)</w:t>
      </w:r>
      <w:r w:rsidRPr="00FF20AE">
        <w:t>: Higher productivity can lead to earnings growth</w:t>
      </w:r>
      <w:r w:rsidR="00B1496E">
        <w:t xml:space="preserve">, </w:t>
      </w:r>
      <w:r w:rsidR="00B1496E" w:rsidRPr="00B1496E">
        <w:t>signal</w:t>
      </w:r>
      <w:r w:rsidR="00B1496E">
        <w:t>ing</w:t>
      </w:r>
      <w:r w:rsidR="00B1496E" w:rsidRPr="00B1496E">
        <w:t xml:space="preserve"> </w:t>
      </w:r>
      <w:r w:rsidR="00B1496E" w:rsidRPr="00B1496E">
        <w:rPr>
          <w:i/>
          <w:iCs/>
        </w:rPr>
        <w:t>margin expansion and earnings potential</w:t>
      </w:r>
      <w:r w:rsidR="00B1496E" w:rsidRPr="00B1496E">
        <w:t>.</w:t>
      </w:r>
    </w:p>
    <w:p w14:paraId="5F561DB5" w14:textId="77777777" w:rsidR="00FF20AE" w:rsidRPr="00FF20AE" w:rsidRDefault="00FF20AE" w:rsidP="00FF20AE">
      <w:pPr>
        <w:numPr>
          <w:ilvl w:val="1"/>
          <w:numId w:val="11"/>
        </w:numPr>
      </w:pPr>
      <w:r w:rsidRPr="00FF20AE">
        <w:rPr>
          <w:b/>
          <w:bCs/>
        </w:rPr>
        <w:t>Earnings Breakdown (Quarterly)</w:t>
      </w:r>
      <w:r w:rsidRPr="00FF20AE">
        <w:t>: Corporate earnings trends provide insights into market cycles.</w:t>
      </w:r>
    </w:p>
    <w:p w14:paraId="05BE9DF2" w14:textId="77777777" w:rsidR="00FF20AE" w:rsidRPr="00FF20AE" w:rsidRDefault="00000000" w:rsidP="00FF20AE">
      <w:r>
        <w:pict w14:anchorId="10D5C799">
          <v:rect id="_x0000_i1026" style="width:0;height:1.5pt" o:hralign="center" o:hrstd="t" o:hr="t" fillcolor="#a0a0a0" stroked="f"/>
        </w:pict>
      </w:r>
    </w:p>
    <w:p w14:paraId="7CBE03AF" w14:textId="77777777" w:rsidR="00FF20AE" w:rsidRPr="00FF20AE" w:rsidRDefault="00FF20AE" w:rsidP="00FF20AE">
      <w:pPr>
        <w:rPr>
          <w:b/>
          <w:bCs/>
        </w:rPr>
      </w:pPr>
      <w:r w:rsidRPr="00FF20AE">
        <w:rPr>
          <w:b/>
          <w:bCs/>
        </w:rPr>
        <w:t>Step 2: Sector &amp; Industry Trend Analysis</w:t>
      </w:r>
    </w:p>
    <w:p w14:paraId="20A04850" w14:textId="77777777" w:rsidR="00FF20AE" w:rsidRPr="00FF20AE" w:rsidRDefault="00FF20AE" w:rsidP="00FF20AE">
      <w:r w:rsidRPr="00FF20AE">
        <w:t xml:space="preserve">Once the macroeconomic picture is clear, focus on </w:t>
      </w:r>
      <w:r w:rsidRPr="00FF20AE">
        <w:rPr>
          <w:b/>
          <w:bCs/>
        </w:rPr>
        <w:t>identifying attractive industries and sectors</w:t>
      </w:r>
      <w:r w:rsidRPr="00FF20AE">
        <w:t>.</w:t>
      </w:r>
    </w:p>
    <w:p w14:paraId="4002E2BB" w14:textId="77777777" w:rsidR="00FF20AE" w:rsidRPr="00FF20AE" w:rsidRDefault="00FF20AE" w:rsidP="00FF20AE">
      <w:pPr>
        <w:numPr>
          <w:ilvl w:val="0"/>
          <w:numId w:val="12"/>
        </w:numPr>
      </w:pPr>
      <w:r w:rsidRPr="00FF20AE">
        <w:rPr>
          <w:b/>
          <w:bCs/>
        </w:rPr>
        <w:t>Fundamental Sector Analysis</w:t>
      </w:r>
    </w:p>
    <w:p w14:paraId="49C0E637" w14:textId="77777777" w:rsidR="00FF20AE" w:rsidRPr="00FF20AE" w:rsidRDefault="00FF20AE" w:rsidP="00FF20AE">
      <w:pPr>
        <w:numPr>
          <w:ilvl w:val="1"/>
          <w:numId w:val="12"/>
        </w:numPr>
      </w:pPr>
      <w:r w:rsidRPr="00FF20AE">
        <w:t xml:space="preserve">Compare </w:t>
      </w:r>
      <w:r w:rsidRPr="00FF20AE">
        <w:rPr>
          <w:b/>
          <w:bCs/>
        </w:rPr>
        <w:t>sector performance against macroeconomic conditions</w:t>
      </w:r>
      <w:r w:rsidRPr="00FF20AE">
        <w:t>.</w:t>
      </w:r>
    </w:p>
    <w:p w14:paraId="084CB45C" w14:textId="77777777" w:rsidR="00FF20AE" w:rsidRDefault="00FF20AE" w:rsidP="00FF20AE">
      <w:pPr>
        <w:numPr>
          <w:ilvl w:val="1"/>
          <w:numId w:val="12"/>
        </w:numPr>
      </w:pPr>
      <w:r w:rsidRPr="00FF20AE">
        <w:t xml:space="preserve">Determine if industries are in </w:t>
      </w:r>
      <w:r w:rsidRPr="00FF20AE">
        <w:rPr>
          <w:b/>
          <w:bCs/>
        </w:rPr>
        <w:t>expansion, contraction, or rotation phases</w:t>
      </w:r>
      <w:r w:rsidRPr="00FF20AE">
        <w:t>.</w:t>
      </w:r>
    </w:p>
    <w:p w14:paraId="2428F90A" w14:textId="35C97C0E" w:rsidR="00F819FE" w:rsidRPr="00FF20AE" w:rsidRDefault="00F819FE" w:rsidP="00FF20AE">
      <w:pPr>
        <w:numPr>
          <w:ilvl w:val="1"/>
          <w:numId w:val="12"/>
        </w:numPr>
      </w:pPr>
      <w:r>
        <w:t xml:space="preserve">Visual: </w:t>
      </w:r>
      <w:r w:rsidRPr="00F819FE">
        <w:rPr>
          <w:noProof/>
        </w:rPr>
        <w:drawing>
          <wp:inline distT="0" distB="0" distL="0" distR="0" wp14:anchorId="0DA8E30E" wp14:editId="7605612A">
            <wp:extent cx="4683760" cy="2540117"/>
            <wp:effectExtent l="0" t="0" r="2540" b="0"/>
            <wp:docPr id="173092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27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845" cy="25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E1E0" w14:textId="77777777" w:rsidR="00FF20AE" w:rsidRPr="00FF20AE" w:rsidRDefault="00FF20AE" w:rsidP="00FF20AE">
      <w:pPr>
        <w:numPr>
          <w:ilvl w:val="0"/>
          <w:numId w:val="12"/>
        </w:numPr>
      </w:pPr>
      <w:r w:rsidRPr="00FF20AE">
        <w:rPr>
          <w:b/>
          <w:bCs/>
        </w:rPr>
        <w:lastRenderedPageBreak/>
        <w:t>Momentum-Based Industry Analysis</w:t>
      </w:r>
    </w:p>
    <w:p w14:paraId="5379078B" w14:textId="77777777" w:rsidR="00FF20AE" w:rsidRPr="00FF20AE" w:rsidRDefault="00FF20AE" w:rsidP="00FF20AE">
      <w:pPr>
        <w:numPr>
          <w:ilvl w:val="1"/>
          <w:numId w:val="12"/>
        </w:numPr>
      </w:pPr>
      <w:r w:rsidRPr="00FF20AE">
        <w:rPr>
          <w:b/>
          <w:bCs/>
        </w:rPr>
        <w:t>Industry-Momentum Indicator</w:t>
      </w:r>
      <w:r w:rsidRPr="00FF20AE">
        <w:t xml:space="preserve">: Identifies sectors showing </w:t>
      </w:r>
      <w:r w:rsidRPr="00FF20AE">
        <w:rPr>
          <w:b/>
          <w:bCs/>
        </w:rPr>
        <w:t>consistent uptrend/downtrend</w:t>
      </w:r>
      <w:r w:rsidRPr="00FF20AE">
        <w:t>.</w:t>
      </w:r>
    </w:p>
    <w:p w14:paraId="6523500A" w14:textId="77777777" w:rsidR="00FF20AE" w:rsidRPr="00FF20AE" w:rsidRDefault="00FF20AE" w:rsidP="00FF20AE">
      <w:pPr>
        <w:numPr>
          <w:ilvl w:val="1"/>
          <w:numId w:val="12"/>
        </w:numPr>
      </w:pPr>
      <w:r w:rsidRPr="00FF20AE">
        <w:rPr>
          <w:b/>
          <w:bCs/>
        </w:rPr>
        <w:t>Ticker-Momentum Indicator</w:t>
      </w:r>
      <w:r w:rsidRPr="00FF20AE">
        <w:t>: Pinpoints strong stocks within outperforming sectors.</w:t>
      </w:r>
    </w:p>
    <w:p w14:paraId="16C279BC" w14:textId="77777777" w:rsidR="00FF20AE" w:rsidRPr="00FF20AE" w:rsidRDefault="00000000" w:rsidP="00FF20AE">
      <w:r>
        <w:pict w14:anchorId="7456ED1B">
          <v:rect id="_x0000_i1027" style="width:0;height:1.5pt" o:hralign="center" o:hrstd="t" o:hr="t" fillcolor="#a0a0a0" stroked="f"/>
        </w:pict>
      </w:r>
    </w:p>
    <w:p w14:paraId="3DC4DC91" w14:textId="77777777" w:rsidR="00FF20AE" w:rsidRPr="00FF20AE" w:rsidRDefault="00FF20AE" w:rsidP="00FF20AE">
      <w:pPr>
        <w:rPr>
          <w:b/>
          <w:bCs/>
        </w:rPr>
      </w:pPr>
      <w:r w:rsidRPr="00FF20AE">
        <w:rPr>
          <w:b/>
          <w:bCs/>
        </w:rPr>
        <w:t>Step 3: Individual Stock Screening</w:t>
      </w:r>
    </w:p>
    <w:p w14:paraId="444E7427" w14:textId="77777777" w:rsidR="00FF20AE" w:rsidRPr="00FF20AE" w:rsidRDefault="00FF20AE" w:rsidP="00FF20AE">
      <w:r w:rsidRPr="00FF20AE">
        <w:t xml:space="preserve">After identifying promising sectors, </w:t>
      </w:r>
      <w:r w:rsidRPr="00FF20AE">
        <w:rPr>
          <w:b/>
          <w:bCs/>
        </w:rPr>
        <w:t>select specific stocks for investment</w:t>
      </w:r>
      <w:r w:rsidRPr="00FF20AE">
        <w:t>.</w:t>
      </w:r>
    </w:p>
    <w:p w14:paraId="10CACEF8" w14:textId="77777777" w:rsidR="00FF20AE" w:rsidRPr="00FF20AE" w:rsidRDefault="00FF20AE" w:rsidP="00FF20AE">
      <w:pPr>
        <w:numPr>
          <w:ilvl w:val="0"/>
          <w:numId w:val="13"/>
        </w:numPr>
      </w:pPr>
      <w:r w:rsidRPr="00FF20AE">
        <w:rPr>
          <w:b/>
          <w:bCs/>
        </w:rPr>
        <w:t>SP500 Scorecard (Daily)</w:t>
      </w:r>
    </w:p>
    <w:p w14:paraId="4F72A88E" w14:textId="77777777" w:rsidR="00FF20AE" w:rsidRPr="00FF20AE" w:rsidRDefault="00FF20AE" w:rsidP="00FF20AE">
      <w:pPr>
        <w:numPr>
          <w:ilvl w:val="1"/>
          <w:numId w:val="13"/>
        </w:numPr>
      </w:pPr>
      <w:r w:rsidRPr="00FF20AE">
        <w:t xml:space="preserve">Examine fundamental and technical performance of </w:t>
      </w:r>
      <w:r w:rsidRPr="00FF20AE">
        <w:rPr>
          <w:b/>
          <w:bCs/>
        </w:rPr>
        <w:t>SP500 stocks</w:t>
      </w:r>
      <w:r w:rsidRPr="00FF20AE">
        <w:t>.</w:t>
      </w:r>
    </w:p>
    <w:p w14:paraId="7CB92CB8" w14:textId="77777777" w:rsidR="00FF20AE" w:rsidRPr="00FF20AE" w:rsidRDefault="00FF20AE" w:rsidP="00FF20AE">
      <w:pPr>
        <w:numPr>
          <w:ilvl w:val="1"/>
          <w:numId w:val="13"/>
        </w:numPr>
      </w:pPr>
      <w:r w:rsidRPr="00FF20AE">
        <w:t xml:space="preserve">Identify stocks with </w:t>
      </w:r>
      <w:r w:rsidRPr="00FF20AE">
        <w:rPr>
          <w:b/>
          <w:bCs/>
        </w:rPr>
        <w:t>strong earnings, revenue growth, and valuation metrics</w:t>
      </w:r>
      <w:r w:rsidRPr="00FF20AE">
        <w:t>.</w:t>
      </w:r>
    </w:p>
    <w:p w14:paraId="66F58694" w14:textId="77777777" w:rsidR="00FF20AE" w:rsidRPr="00FF20AE" w:rsidRDefault="00FF20AE" w:rsidP="00FF20AE">
      <w:pPr>
        <w:numPr>
          <w:ilvl w:val="0"/>
          <w:numId w:val="13"/>
        </w:numPr>
      </w:pPr>
      <w:r w:rsidRPr="00FF20AE">
        <w:rPr>
          <w:b/>
          <w:bCs/>
        </w:rPr>
        <w:t>Stock-Specific Momentum Indicators</w:t>
      </w:r>
    </w:p>
    <w:p w14:paraId="7438BFCB" w14:textId="77777777" w:rsidR="00FF20AE" w:rsidRPr="00FF20AE" w:rsidRDefault="00FF20AE" w:rsidP="00FF20AE">
      <w:pPr>
        <w:numPr>
          <w:ilvl w:val="1"/>
          <w:numId w:val="13"/>
        </w:numPr>
      </w:pPr>
      <w:r w:rsidRPr="00FF20AE">
        <w:rPr>
          <w:b/>
          <w:bCs/>
        </w:rPr>
        <w:t>Ticker-Momentum Indicator</w:t>
      </w:r>
      <w:r w:rsidRPr="00FF20AE">
        <w:t xml:space="preserve">: Screens stocks based on </w:t>
      </w:r>
      <w:r w:rsidRPr="00FF20AE">
        <w:rPr>
          <w:b/>
          <w:bCs/>
        </w:rPr>
        <w:t>technical strength</w:t>
      </w:r>
      <w:r w:rsidRPr="00FF20AE">
        <w:t xml:space="preserve"> (price trends, volume, relative strength).</w:t>
      </w:r>
    </w:p>
    <w:p w14:paraId="4022BB64" w14:textId="77777777" w:rsidR="00FF20AE" w:rsidRPr="00FF20AE" w:rsidRDefault="00FF20AE" w:rsidP="00FF20AE">
      <w:pPr>
        <w:numPr>
          <w:ilvl w:val="1"/>
          <w:numId w:val="13"/>
        </w:numPr>
      </w:pPr>
      <w:r w:rsidRPr="00FF20AE">
        <w:t xml:space="preserve">Compare stock performance against </w:t>
      </w:r>
      <w:r w:rsidRPr="00FF20AE">
        <w:rPr>
          <w:b/>
          <w:bCs/>
        </w:rPr>
        <w:t>Industry-Momentum</w:t>
      </w:r>
      <w:r w:rsidRPr="00FF20AE">
        <w:t xml:space="preserve"> to ensure it aligns with broader trends.</w:t>
      </w:r>
    </w:p>
    <w:p w14:paraId="0F7BD3DB" w14:textId="77777777" w:rsidR="00FF20AE" w:rsidRPr="00FF20AE" w:rsidRDefault="00000000" w:rsidP="00FF20AE">
      <w:r>
        <w:pict w14:anchorId="45D30B4F">
          <v:rect id="_x0000_i1028" style="width:0;height:1.5pt" o:hralign="center" o:hrstd="t" o:hr="t" fillcolor="#a0a0a0" stroked="f"/>
        </w:pict>
      </w:r>
    </w:p>
    <w:p w14:paraId="1C7B3AF3" w14:textId="77777777" w:rsidR="00FF20AE" w:rsidRPr="00FF20AE" w:rsidRDefault="00FF20AE" w:rsidP="00FF20AE">
      <w:pPr>
        <w:rPr>
          <w:b/>
          <w:bCs/>
        </w:rPr>
      </w:pPr>
      <w:r w:rsidRPr="00FF20AE">
        <w:rPr>
          <w:b/>
          <w:bCs/>
        </w:rPr>
        <w:t>Final Decision-Making</w:t>
      </w:r>
    </w:p>
    <w:p w14:paraId="3E912D35" w14:textId="77777777" w:rsidR="00FF20AE" w:rsidRPr="00FF20AE" w:rsidRDefault="00FF20AE" w:rsidP="00FF20AE">
      <w:r w:rsidRPr="00FF20AE">
        <w:t xml:space="preserve">After filtering stocks, conduct a </w:t>
      </w:r>
      <w:r w:rsidRPr="00FF20AE">
        <w:rPr>
          <w:b/>
          <w:bCs/>
        </w:rPr>
        <w:t>final qualitative analysis</w:t>
      </w:r>
      <w:r w:rsidRPr="00FF20AE">
        <w:t>, considering:</w:t>
      </w:r>
    </w:p>
    <w:p w14:paraId="6280152E" w14:textId="77777777" w:rsidR="00FF20AE" w:rsidRPr="00FF20AE" w:rsidRDefault="00FF20AE" w:rsidP="00FF20AE">
      <w:pPr>
        <w:numPr>
          <w:ilvl w:val="0"/>
          <w:numId w:val="14"/>
        </w:numPr>
      </w:pPr>
      <w:r w:rsidRPr="00FF20AE">
        <w:rPr>
          <w:b/>
          <w:bCs/>
        </w:rPr>
        <w:t>Company fundamentals</w:t>
      </w:r>
      <w:r w:rsidRPr="00FF20AE">
        <w:t>: Earnings growth, profit margins, competitive advantage.</w:t>
      </w:r>
    </w:p>
    <w:p w14:paraId="66B97820" w14:textId="77777777" w:rsidR="00FF20AE" w:rsidRPr="00FF20AE" w:rsidRDefault="00FF20AE" w:rsidP="00FF20AE">
      <w:pPr>
        <w:numPr>
          <w:ilvl w:val="0"/>
          <w:numId w:val="14"/>
        </w:numPr>
      </w:pPr>
      <w:r w:rsidRPr="00FF20AE">
        <w:rPr>
          <w:b/>
          <w:bCs/>
        </w:rPr>
        <w:t>Valuation metrics</w:t>
      </w:r>
      <w:r w:rsidRPr="00FF20AE">
        <w:t>: P/E ratio, PEG ratio, price-to-sales ratio.</w:t>
      </w:r>
    </w:p>
    <w:p w14:paraId="74424B79" w14:textId="77777777" w:rsidR="00FF20AE" w:rsidRPr="00FF20AE" w:rsidRDefault="00FF20AE" w:rsidP="00FF20AE">
      <w:pPr>
        <w:numPr>
          <w:ilvl w:val="0"/>
          <w:numId w:val="14"/>
        </w:numPr>
      </w:pPr>
      <w:r w:rsidRPr="00FF20AE">
        <w:rPr>
          <w:b/>
          <w:bCs/>
        </w:rPr>
        <w:t>News &amp; sentiment analysis</w:t>
      </w:r>
      <w:r w:rsidRPr="00FF20AE">
        <w:t>: Management changes, industry disruptions, macro risks.</w:t>
      </w:r>
    </w:p>
    <w:p w14:paraId="2E5657B8" w14:textId="77777777" w:rsidR="00FF20AE" w:rsidRPr="00FF20AE" w:rsidRDefault="00000000" w:rsidP="00FF20AE">
      <w:r>
        <w:pict w14:anchorId="4C65C21F">
          <v:rect id="_x0000_i1029" style="width:0;height:1.5pt" o:hralign="center" o:hrstd="t" o:hr="t" fillcolor="#a0a0a0" stroked="f"/>
        </w:pict>
      </w:r>
    </w:p>
    <w:p w14:paraId="417003F0" w14:textId="77777777" w:rsidR="00FF20AE" w:rsidRPr="00FF20AE" w:rsidRDefault="00FF20AE" w:rsidP="00FF20AE">
      <w:pPr>
        <w:rPr>
          <w:b/>
          <w:bCs/>
        </w:rPr>
      </w:pPr>
      <w:r w:rsidRPr="00FF20AE">
        <w:rPr>
          <w:b/>
          <w:bCs/>
        </w:rPr>
        <w:t>Summary Workflow</w:t>
      </w:r>
    </w:p>
    <w:p w14:paraId="0153DCB7" w14:textId="77777777" w:rsidR="00FF20AE" w:rsidRPr="00FF20AE" w:rsidRDefault="00FF20AE" w:rsidP="00FF20AE">
      <w:pPr>
        <w:numPr>
          <w:ilvl w:val="0"/>
          <w:numId w:val="15"/>
        </w:numPr>
      </w:pPr>
      <w:r w:rsidRPr="00FF20AE">
        <w:rPr>
          <w:b/>
          <w:bCs/>
        </w:rPr>
        <w:t>Assess Market Conditions</w:t>
      </w:r>
      <w:r w:rsidRPr="00FF20AE">
        <w:t xml:space="preserve"> → (Macro Indicators: CPI, UE, GDP, PCE, etc.)</w:t>
      </w:r>
    </w:p>
    <w:p w14:paraId="094719BF" w14:textId="77777777" w:rsidR="00FF20AE" w:rsidRPr="00FF20AE" w:rsidRDefault="00FF20AE" w:rsidP="00FF20AE">
      <w:pPr>
        <w:numPr>
          <w:ilvl w:val="0"/>
          <w:numId w:val="15"/>
        </w:numPr>
      </w:pPr>
      <w:r w:rsidRPr="00FF20AE">
        <w:rPr>
          <w:b/>
          <w:bCs/>
        </w:rPr>
        <w:t>Identify Strong Sectors</w:t>
      </w:r>
      <w:r w:rsidRPr="00FF20AE">
        <w:t xml:space="preserve"> → (Industry-Momentum, Fundamental Analysis)</w:t>
      </w:r>
    </w:p>
    <w:p w14:paraId="07B36FE2" w14:textId="77777777" w:rsidR="00FF20AE" w:rsidRPr="00FF20AE" w:rsidRDefault="00FF20AE" w:rsidP="00FF20AE">
      <w:pPr>
        <w:numPr>
          <w:ilvl w:val="0"/>
          <w:numId w:val="15"/>
        </w:numPr>
      </w:pPr>
      <w:r w:rsidRPr="00FF20AE">
        <w:rPr>
          <w:b/>
          <w:bCs/>
        </w:rPr>
        <w:t>Screen Individual Stocks</w:t>
      </w:r>
      <w:r w:rsidRPr="00FF20AE">
        <w:t xml:space="preserve"> → (SP500 Scorecard, Ticker-Momentum)</w:t>
      </w:r>
    </w:p>
    <w:p w14:paraId="469A89C7" w14:textId="77777777" w:rsidR="00FF20AE" w:rsidRDefault="00FF20AE" w:rsidP="00A82BA9"/>
    <w:sectPr w:rsidR="00FF20AE" w:rsidSect="000E56A3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B1EF" w14:textId="77777777" w:rsidR="000D2D97" w:rsidRDefault="000D2D97" w:rsidP="003379E8">
      <w:pPr>
        <w:spacing w:after="0" w:line="240" w:lineRule="auto"/>
      </w:pPr>
      <w:r>
        <w:separator/>
      </w:r>
    </w:p>
  </w:endnote>
  <w:endnote w:type="continuationSeparator" w:id="0">
    <w:p w14:paraId="68092DB0" w14:textId="77777777" w:rsidR="000D2D97" w:rsidRDefault="000D2D97" w:rsidP="0033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E1A7" w14:textId="42356B95" w:rsidR="00AD2C1B" w:rsidRDefault="00AD2C1B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2BF1" w14:textId="77777777" w:rsidR="000D2D97" w:rsidRDefault="000D2D97" w:rsidP="003379E8">
      <w:pPr>
        <w:spacing w:after="0" w:line="240" w:lineRule="auto"/>
      </w:pPr>
      <w:r>
        <w:separator/>
      </w:r>
    </w:p>
  </w:footnote>
  <w:footnote w:type="continuationSeparator" w:id="0">
    <w:p w14:paraId="5D63969A" w14:textId="77777777" w:rsidR="000D2D97" w:rsidRDefault="000D2D97" w:rsidP="00337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D0681"/>
    <w:multiLevelType w:val="multilevel"/>
    <w:tmpl w:val="5516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E257A8"/>
    <w:multiLevelType w:val="multilevel"/>
    <w:tmpl w:val="0B2E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C24CC"/>
    <w:multiLevelType w:val="multilevel"/>
    <w:tmpl w:val="9AC6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56D36"/>
    <w:multiLevelType w:val="multilevel"/>
    <w:tmpl w:val="D8D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85840"/>
    <w:multiLevelType w:val="multilevel"/>
    <w:tmpl w:val="B382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43D00"/>
    <w:multiLevelType w:val="multilevel"/>
    <w:tmpl w:val="BAD8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1B11EC"/>
    <w:multiLevelType w:val="hybridMultilevel"/>
    <w:tmpl w:val="9306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270643">
    <w:abstractNumId w:val="8"/>
  </w:num>
  <w:num w:numId="2" w16cid:durableId="951866733">
    <w:abstractNumId w:val="6"/>
  </w:num>
  <w:num w:numId="3" w16cid:durableId="1116874706">
    <w:abstractNumId w:val="5"/>
  </w:num>
  <w:num w:numId="4" w16cid:durableId="139032792">
    <w:abstractNumId w:val="4"/>
  </w:num>
  <w:num w:numId="5" w16cid:durableId="274561626">
    <w:abstractNumId w:val="7"/>
  </w:num>
  <w:num w:numId="6" w16cid:durableId="2048867931">
    <w:abstractNumId w:val="3"/>
  </w:num>
  <w:num w:numId="7" w16cid:durableId="926383752">
    <w:abstractNumId w:val="2"/>
  </w:num>
  <w:num w:numId="8" w16cid:durableId="405568884">
    <w:abstractNumId w:val="1"/>
  </w:num>
  <w:num w:numId="9" w16cid:durableId="276982857">
    <w:abstractNumId w:val="0"/>
  </w:num>
  <w:num w:numId="10" w16cid:durableId="1522208681">
    <w:abstractNumId w:val="15"/>
  </w:num>
  <w:num w:numId="11" w16cid:durableId="1393963694">
    <w:abstractNumId w:val="13"/>
  </w:num>
  <w:num w:numId="12" w16cid:durableId="1572156295">
    <w:abstractNumId w:val="9"/>
  </w:num>
  <w:num w:numId="13" w16cid:durableId="202597213">
    <w:abstractNumId w:val="14"/>
  </w:num>
  <w:num w:numId="14" w16cid:durableId="1188443743">
    <w:abstractNumId w:val="12"/>
  </w:num>
  <w:num w:numId="15" w16cid:durableId="468787512">
    <w:abstractNumId w:val="11"/>
  </w:num>
  <w:num w:numId="16" w16cid:durableId="201214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29"/>
    <w:rsid w:val="00017CA1"/>
    <w:rsid w:val="00034616"/>
    <w:rsid w:val="0006063C"/>
    <w:rsid w:val="000B5A99"/>
    <w:rsid w:val="000C1877"/>
    <w:rsid w:val="000D2D97"/>
    <w:rsid w:val="000E56A3"/>
    <w:rsid w:val="0015074B"/>
    <w:rsid w:val="00163E25"/>
    <w:rsid w:val="00167A2B"/>
    <w:rsid w:val="00211E00"/>
    <w:rsid w:val="00236FCE"/>
    <w:rsid w:val="0029639D"/>
    <w:rsid w:val="002D2CF0"/>
    <w:rsid w:val="002F4E51"/>
    <w:rsid w:val="002F6692"/>
    <w:rsid w:val="003140C9"/>
    <w:rsid w:val="00326F90"/>
    <w:rsid w:val="003379E8"/>
    <w:rsid w:val="005E44B0"/>
    <w:rsid w:val="006D2E88"/>
    <w:rsid w:val="008116D4"/>
    <w:rsid w:val="00854C93"/>
    <w:rsid w:val="008842FF"/>
    <w:rsid w:val="008B6A94"/>
    <w:rsid w:val="008D32BE"/>
    <w:rsid w:val="008F7897"/>
    <w:rsid w:val="0094788C"/>
    <w:rsid w:val="009C71A3"/>
    <w:rsid w:val="00A6428F"/>
    <w:rsid w:val="00A82BA9"/>
    <w:rsid w:val="00A913C9"/>
    <w:rsid w:val="00AA1D8D"/>
    <w:rsid w:val="00AD2C1B"/>
    <w:rsid w:val="00B1496E"/>
    <w:rsid w:val="00B47730"/>
    <w:rsid w:val="00B945C0"/>
    <w:rsid w:val="00B949CE"/>
    <w:rsid w:val="00BF0441"/>
    <w:rsid w:val="00C24FFA"/>
    <w:rsid w:val="00C93864"/>
    <w:rsid w:val="00CA162F"/>
    <w:rsid w:val="00CB0664"/>
    <w:rsid w:val="00DA331F"/>
    <w:rsid w:val="00DD25AA"/>
    <w:rsid w:val="00E00930"/>
    <w:rsid w:val="00E24376"/>
    <w:rsid w:val="00E729F8"/>
    <w:rsid w:val="00F0617D"/>
    <w:rsid w:val="00F819FE"/>
    <w:rsid w:val="00FC693F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526E5"/>
  <w14:defaultImageDpi w14:val="300"/>
  <w15:docId w15:val="{84D83B6E-D781-4856-A723-387E6FC8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Longhao Desktop</cp:lastModifiedBy>
  <cp:revision>5</cp:revision>
  <cp:lastPrinted>2025-02-16T02:11:00Z</cp:lastPrinted>
  <dcterms:created xsi:type="dcterms:W3CDTF">2025-02-20T14:24:00Z</dcterms:created>
  <dcterms:modified xsi:type="dcterms:W3CDTF">2025-02-20T18:28:00Z</dcterms:modified>
  <cp:category/>
</cp:coreProperties>
</file>