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36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LinkedIn</w:t>
        </w:r>
      </w:hyperlink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Spring 2027 entering class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Wenzhou-Kean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3.93/4.00;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 (2024-2025):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PUBLICATIONS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CVPR Workshop on Computer Vision for Children (CV4CHL), 2026, pp. 5619-5630.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Bowen Li*,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Hengyu Zhang, Xubin Sun, Baha Ihnaini.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1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Improving Negative Rejection Ability in Language Models: A Review of Fine-Tuned LLMs, RAG, and RAFT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King Saud University Computer and Information Sciences, 38, 21, 2026.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Ebenezer Fiifi Emire Atta Mills*, Zihui Deng*,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Jinger Li.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2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Data-driven prediction of soccer outcomes using enhanced machine and deep learning techniques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Big Data, 2024.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Baha Ihnaini, Wei Liu,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 (co-first author), Zihui Deng, Jiayi Xu, Ruoling Zhao.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Evaluating Mild Cognitive Impairment Using Large Language Models: A Comparative Analysis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Submitted to Acta Pharmacologica Sinica.</w:t>
      </w:r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Intern, Artificial Intelligence Algorithm Integrated Innovation Center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Aug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data pipeline and token-level attribution visualizations using Layer-wise Relevance Propagation (LRP) and DeepLIFT for language model interpretability.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attribution methods on text examples, including medical text, and visualized token relevance to examine model behavior.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RepoFusion-in-Decoder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Efficient cross-file code completion via lightweight encoder fusion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Apr 2025 - Aug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lightweight encoder and cross-attention modules to integrate retrieved repository context into a frozen decoder-only code language model.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BM25 retrieval and sliding-window chunking pipeline, with cached encoder states to reuse cross-file context.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Evaluated completion quality and prefill latency on Long Code Arena and RepoEval-Updated; conducted ablations on cross-attention depth to study the efficiency-quality trade-off.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Large Language Models for Mild Cognitive Impairment Screening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Built a speech-to-text screening pipeline with audio normalization and transcript correction; curated a Chinese-language data subset and implemented balanced 5-fold cross-validation.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Fine-tuned Llama-3, Gemma, and Qwen models using supervised fine-tuning and LoRA; compared unquantized, 8-bit, and 4-bit configurations.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zero-shot, few-shot, and instruction prompting, and evaluated model configurations using accuracy, F1, precision, and recall.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Position: Multimodal LLMs Should Learn from Children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Collaborative survey and conceptual framework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models, focusing on grounding, supervision inference, memory, and continual adaptation.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Contributed to a framework spanning task formation, supervision inference, and continuous growth; analyzed limitations in sequential multimodal data and evaluation benchmarks.</w:t>
      </w:r>
    </w:p>
    <w:p w14:paraId="7809F81B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Language Model Reliability and Rejection Behavior</w:t>
      </w:r>
    </w:p>
    <w:p w14:paraId="4ED771F3" w14:textId="63B2E0BF" w:rsidR="00B8643C" w:rsidRDefault="00000000">
      <w:pPr>
        <w:widowControl/>
        <w:autoSpaceDE/>
        <w:autoSpaceDN/>
        <w:spacing w:after="10" w:line="19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Conducted a literature review across five scholarly databases, applying inclusion criteria, citation tracing, and structured extraction of models, datasets, and metrics.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fine-tuning, RAG, and RAFT for rejection behavior, hallucination mitigation, computational cost, and domain adaptability; co-developed a four-dimensional review framework.</w:t>
      </w:r>
    </w:p>
    <w:p w14:paraId="6DAD103A" w14:textId="77777777" w:rsidR="00B8643C" w:rsidRDefault="00000000">
      <w:pPr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bCs/>
          <w:sz w:val="21"/>
          <w:szCs w:val="21"/>
          <w:b w:val="1"/>
        </w:rPr>
        <w:t xml:space="preserve">Reinforcement Learning for UAV Planning</w:t>
      </w:r>
    </w:p>
    <w:p w14:paraId="79D6DBB5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project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Sep 2024 - Oct 2025</w:t>
      </w:r>
    </w:p>
    <w:p w14:paraId="4B7F311B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Implemented an enhanced Noisy DQN and an evaluation pipeline for a communication-constrained 15 x 15 grid environment, with comparisons against DQN, NoisyNet, and Double DQN.</w:t>
      </w:r>
    </w:p>
    <w:p w14:paraId="29DCF11E" w14:textId="77777777" w:rsidR="00B8643C" w:rsidRDefault="00000000">
      <w:pPr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CT Image Reconstruction</w:t>
      </w:r>
    </w:p>
    <w:p w14:paraId="1C1AD7A7" w14:textId="77777777" w:rsidR="00B8643C" w:rsidRDefault="00000000">
      <w:pPr>
        <w:widowControl/>
        <w:autoSpaceDE/>
        <w:autoSpaceDN/>
        <w:spacing w:after="10" w:line="192" w:lineRule="auto"/>
        <w:rPr>
          <w:rFonts w:ascii="Times New Roman" w:eastAsiaTheme="minorEastAsia" w:hAnsi="Times New Roman" w:cs="Times New Roman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project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2025 - Jun 2025</w:t>
      </w:r>
    </w:p>
    <w:p w14:paraId="4CCFEDA5" w14:textId="61B55C03" w:rsidR="00B8643C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Implemented a U-Net with kernel basis attention and multi-axis feature fusion; evaluated low-dose and sparse-view reconstruction using MSE, SSIM, and a CNN observer task.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4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INTERESTS &amp; SKILLS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Programming and environment: Python, Java, Linux.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Research methods: LLM fine-tuning, LoRA, quantization, retrieval, cross-validation, ablation studies, token attribution.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10" w:line="19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Research Interests: Multimodal Large Language Models; Computer Vision; Natural Language Processing; Reinforcement Learning; Reliable Large Language Models.</w:t>
      </w:r>
    </w:p>
    <w:sectPr w:rsidR="006851DC" w:rsidRPr="006851DC">
      <w:pgSz w:w="11900" w:h="16840"/>
      <w:pgMar w:top="431" w:right="510" w:bottom="280" w:left="5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hongzh@kean.edu" TargetMode="Externa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CV11" Type="http://schemas.openxmlformats.org/officeDocument/2006/relationships/hyperlink" Target="https://doi.org/10.1007/s44443-025-00334-6" TargetMode="External"/><Relationship Id="rIdCV12" Type="http://schemas.openxmlformats.org/officeDocument/2006/relationships/hyperlink" Target="https://doi.org/10.1186/s40537-024-01008-2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