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20" w:before="0" w:line="240" w:lineRule="auto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21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20" w:before="0" w:line="240" w:lineRule="auto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1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1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1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1"/>
            <w:lang w:eastAsia="zh-CN"/>
          </w:rPr>
          <w:t xml:space="preserve">LinkedIn</w:t>
        </w:r>
      </w:hyperlink>
      <w:r>
        <w:rPr>
          <w:rFonts w:ascii="Times New Roman" w:hAnsi="Times New Roman" w:hint="eastAsia"/>
          <w:sz w:val="20"/>
          <w:szCs w:val="21"/>
          <w:lang w:eastAsia="zh-CN"/>
        </w:rPr>
        <w:t xml:space="preserve"> | </w:t>
      </w:r>
      <w:hyperlink r:id="rIdHomepage">
        <w:r>
          <w:rPr>
            <w:rFonts w:ascii="Times New Roman" w:hAnsi="Times New Roman" w:hint="eastAsia"/>
            <w:sz w:val="20"/>
            <w:szCs w:val="21"/>
            <w:lang w:eastAsia="zh-CN"/>
          </w:rPr>
          <w:t xml:space="preserve">Webpage</w:t>
        </w:r>
      </w:hyperlink>
      <w:r>
        <w:rPr>
          <w:rFonts w:ascii="Times New Roman" w:hAnsi="Times New Roman" w:hint="eastAsia"/>
          <w:sz w:val="20"/>
          <w:szCs w:val="21"/>
          <w:lang w:eastAsia="zh-CN"/>
        </w:rPr>
        <w:t xml:space="preserve"/>
      </w:r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20" w:line="240" w:lineRule="auto" w:before="0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Sep 2026 - Present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 w:before="0" w:after="20" w:line="240" w:lineRule="auto"/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748"/>
        </w:tabs>
        <w:spacing w:before="0" w:after="20" w:line="240" w:lineRule="auto"/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3.859/4.000;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 w:val="1"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SELECTED PUBLICATIONS</w:t>
      </w:r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Baha Ihnaini, Wei Liu,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/>
        </w:rPr>
        <w:t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*, Zihui Deng, Jiayi Xu, and Ruoling Zhao. "Evaluating Mild Cognitive Impairment using large language models: A comparative analysis." Biomedical Signal Processing and Control, 130, 111602, 2027.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4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" w:hAnsi="Times New Roman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", CVPR Workshops (CV4CHL), 2026, pp. 5619-5630.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5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Bowen Li*,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/>
        </w:rPr>
        <w:t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*, et al. "Improving Negative Rejection Ability in Language Models: A Review of Fine-Tuned LLMs, RAG, and RAFT." Journal of King Saud University Computer and Information Sciences, 38(2), 21, 2026.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6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0054910D" w14:textId="77777777" w:rsidR="00B8643C" w:rsidRDefault="00000000">
      <w:pPr>
        <w:widowControl w:val="1"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Ebenezer Fiifi Emire Atta Mills*, Zihui Deng*, </w:t>
      </w:r>
      <w:r>
        <w:rPr>
          <w:rFonts w:ascii="Times New Roman" w:hAnsi="Times New Roman" w:cs="Times New Roman Regular" w:hint="eastAsia"/>
          <w:sz w:val="21"/>
          <w:szCs w:val="21"/>
          <w:lang w:eastAsia="zh-CN"/>
          <w:b/>
        </w:rPr>
        <w:t>Zhuoqing Zhong</w:t>
      </w:r>
      <w:r>
        <w:rPr>
          <w:rFonts w:ascii="Times New Roman" w:hAnsi="Times New Roman" w:cs="Times New Roman Regular" w:hint="eastAsia"/>
          <w:sz w:val="21"/>
          <w:szCs w:val="21"/>
          <w:lang w:eastAsia="zh-CN"/>
        </w:rPr>
        <w:t xml:space="preserve">*, and Jinger Li. "Data-driven prediction of soccer outcomes using enhanced machine and deep learning techniques." Journal of Big Data, 11, 170, 2024.</w:t>
      </w:r>
      <w:r>
        <w:t xml:space="preserve"> </w:t>
        <w:rPr>
          <w:rFonts w:ascii="Times New Roman" w:hAnsi="Times New Roman"/>
          <w:sz w:val="21"/>
          <w:szCs w:val="21"/>
        </w:rPr>
      </w:r>
      <w:hyperlink r:id="rIdPublication17">
        <w:r>
          <w:rPr>
            <w:u w:val="single"/>
            <w:rFonts w:ascii="Times New Roman" w:hAnsi="Times New Roman"/>
            <w:sz w:val="21"/>
            <w:szCs w:val="21"/>
          </w:rPr>
          <w:t>[Paper]</w:t>
        </w:r>
      </w:hyperlink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  <w:spacing w:before="0" w:after="20" w:line="240" w:lineRule="auto"/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 w:before="0" w:after="20" w:line="240" w:lineRule="auto"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20" w:line="240" w:lineRule="auto" w:before="0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748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Jul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a data pipeline and token-level explanations for language models using Layer-wise Relevance Propagation (LRP) and DeepLIFT.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Compared attribution methods on general and medical text examples through token-relevance visualizations.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20" w:line="240" w:lineRule="auto" w:before="45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748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Developmental Learning for Multimodal Models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models; contributed to a framework for grounding, supervision inference, memory, and continual adaptation.</w:t>
      </w:r>
    </w:p>
    <w:p w14:paraId="7809F81B" w14:textId="77777777" w:rsidR="00B8643C" w:rsidRDefault="00000000">
      <w:pPr>
        <w:widowControl/>
        <w:autoSpaceDE/>
        <w:autoSpaceDN/>
        <w:spacing w:after="20" w:line="240" w:lineRule="auto" w:before="45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748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LLM Reliability and Rejection Behavior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Reviewed fine-tuning, RAG, and RAFT across five scholarly databases; compared rejection behavior, hallucination mitigation, cost, and domain adaptability.</w:t>
      </w:r>
    </w:p>
    <w:p w14:paraId="7809F81B" w14:textId="77777777" w:rsidR="00B8643C" w:rsidRDefault="00000000">
      <w:pPr>
        <w:widowControl/>
        <w:autoSpaceDE/>
        <w:autoSpaceDN/>
        <w:spacing w:after="20" w:line="240" w:lineRule="auto" w:before="45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748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Language Models for Cognitive Screening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Chinese speech-to-text pipeline for cognitive screening, including audio normalization and transcript correction.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prompting, fine-tuning, and LoRA across Llama-3, Gemma, and Qwen under different quantization settings.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Evaluated with subject-level five-fold cross-validation; the study achieved approximately 0.86 accuracy and F1 with 4-bit QLoRA.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20" w:before="90" w:line="240" w:lineRule="auto"/>
        <w:outlineLvl w:val="0"/>
        <w:rPr>
          <w:rFonts w:ascii="Times New Roman Regular" w:hAnsi="Times New Roman Regular" w:cs="Times New Roman Regular"/>
          <w:sz w:val="21"/>
          <w:szCs w:val="21"/>
        </w:rPr>
        <w:keepNext w:val="1"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INTERESTS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20" w:line="240" w:lineRule="auto" w:before="0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Multimodal Large Language Models; Computer Vision; Reinforcement Learning; Reliable Large Language Models.</w:t>
      </w:r>
    </w:p>
    <w:sectPr w:rsidR="006851DC" w:rsidRPr="006851DC">
      <w:pgSz w:w="11900" w:h="16840"/>
      <w:pgMar w:top="576" w:right="576" w:bottom="576" w:left="5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Homepage" Type="http://schemas.openxmlformats.org/officeDocument/2006/relationships/hyperlink" Target="https://zhuoqinz.github.io/" TargetMode="External"/><Relationship Id="rIdPublication14" Type="http://schemas.openxmlformats.org/officeDocument/2006/relationships/hyperlink" Target="https://doi.org/10.1016/j.bspc.2026.111602" TargetMode="External"/><Relationship Id="rIdPublication15" Type="http://schemas.openxmlformats.org/officeDocument/2006/relationships/hyperlink" Target="https://openaccess.thecvf.com/content/CVPR2026W/CV4CHL/html/Shen_Position_Multimodal_LLMs_Should_Learn_from_Children_CVPRW_2026_paper.html" TargetMode="External"/><Relationship Id="rIdPublication16" Type="http://schemas.openxmlformats.org/officeDocument/2006/relationships/hyperlink" Target="https://doi.org/10.1007/s44443-025-00334-6" TargetMode="External"/><Relationship Id="rIdPublication17" Type="http://schemas.openxmlformats.org/officeDocument/2006/relationships/hyperlink" Target="https://doi.org/10.1186/s40537-024-01008-2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