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FD8D88">
      <w:pPr>
        <w:spacing w:before="480" w:after="480" w:line="288" w:lineRule="auto"/>
        <w:ind w:left="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52"/>
        </w:rPr>
        <w:t>快递运送智能小车技术需求（与人形机器人协同赛项）</w:t>
      </w:r>
    </w:p>
    <w:p w14:paraId="610605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320" w:line="360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</w:rPr>
      </w:pPr>
      <w:bookmarkStart w:id="0" w:name="heading_0"/>
      <w:r>
        <w:rPr>
          <w:rFonts w:hint="eastAsia" w:ascii="宋体" w:hAnsi="宋体" w:eastAsia="宋体" w:cs="宋体"/>
          <w:b/>
          <w:sz w:val="32"/>
        </w:rPr>
        <w:t>1. 总体概述</w:t>
      </w:r>
      <w:bookmarkEnd w:id="0"/>
    </w:p>
    <w:p w14:paraId="27EE59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20" w:line="360" w:lineRule="auto"/>
        <w:ind w:left="0" w:firstLine="500" w:firstLineChars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本赛项为</w:t>
      </w:r>
      <w:r>
        <w:rPr>
          <w:rFonts w:hint="eastAsia" w:ascii="宋体" w:hAnsi="宋体" w:eastAsia="宋体" w:cs="宋体"/>
          <w:b/>
          <w:sz w:val="22"/>
        </w:rPr>
        <w:t>人形机器人+快递运送小车协同作业赛事</w:t>
      </w:r>
      <w:r>
        <w:rPr>
          <w:rFonts w:hint="eastAsia" w:ascii="宋体" w:hAnsi="宋体" w:eastAsia="宋体" w:cs="宋体"/>
          <w:sz w:val="22"/>
        </w:rPr>
        <w:t>，模拟智慧快递驿站无人配送场景。快递运送小车作为移动配送载体，承担场地建图、自主定位导航、货物转运、人机协同通信任务，与人形机器人完成快递交接、点位配送、场景自适应通行等协同赛事任务。本文件明确赛事专用快递运送小车的全部功能性、技术性、协同性硬性指标，为参赛队伍研发、调试、现场测评提供统一标准。</w:t>
      </w:r>
    </w:p>
    <w:p w14:paraId="72A272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20" w:line="360" w:lineRule="auto"/>
        <w:ind w:left="0" w:firstLine="500" w:firstLineChars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核心设计目标：高稳定重定位能力、高精度导航、复杂场景自适应通行、标准化人形机器人通信协同，保障双人机系统在赛事场景下稳定、高效、无卡死运行。</w:t>
      </w:r>
    </w:p>
    <w:p w14:paraId="44CEB6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320" w:line="360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</w:rPr>
      </w:pPr>
      <w:bookmarkStart w:id="1" w:name="heading_1"/>
      <w:r>
        <w:rPr>
          <w:rFonts w:hint="eastAsia" w:ascii="宋体" w:hAnsi="宋体" w:eastAsia="宋体" w:cs="宋体"/>
          <w:b/>
          <w:sz w:val="32"/>
        </w:rPr>
        <w:t>2. 核心功能技术需求</w:t>
      </w:r>
      <w:bookmarkEnd w:id="1"/>
    </w:p>
    <w:p w14:paraId="28D23B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300" w:line="360" w:lineRule="auto"/>
        <w:ind w:left="0"/>
        <w:jc w:val="left"/>
        <w:textAlignment w:val="auto"/>
        <w:outlineLvl w:val="2"/>
        <w:rPr>
          <w:rFonts w:hint="eastAsia" w:ascii="宋体" w:hAnsi="宋体" w:eastAsia="宋体" w:cs="宋体"/>
        </w:rPr>
      </w:pPr>
      <w:bookmarkStart w:id="2" w:name="heading_2"/>
      <w:r>
        <w:rPr>
          <w:rFonts w:hint="eastAsia" w:ascii="宋体" w:hAnsi="宋体" w:eastAsia="宋体" w:cs="宋体"/>
          <w:b/>
          <w:sz w:val="30"/>
        </w:rPr>
        <w:t>2.1 多模式自主重定位功能（赛事必考项）</w:t>
      </w:r>
      <w:bookmarkEnd w:id="2"/>
    </w:p>
    <w:p w14:paraId="746172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20" w:line="360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小车完成赛场全局建图后，断电重启、异常复位、被动移位等场景下，无需重新建图，可通过</w:t>
      </w:r>
      <w:r>
        <w:rPr>
          <w:rFonts w:hint="eastAsia" w:ascii="宋体" w:hAnsi="宋体" w:eastAsia="宋体" w:cs="宋体"/>
          <w:b/>
          <w:sz w:val="22"/>
        </w:rPr>
        <w:t>三种独立标定/重定位方式</w:t>
      </w:r>
      <w:r>
        <w:rPr>
          <w:rFonts w:hint="eastAsia" w:ascii="宋体" w:hAnsi="宋体" w:eastAsia="宋体" w:cs="宋体"/>
          <w:sz w:val="22"/>
        </w:rPr>
        <w:t>完成精准定位，适配赛事不同突发场景，三种模式需全部兼容、可自由切换触发。</w:t>
      </w:r>
    </w:p>
    <w:p w14:paraId="2F5E66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260" w:line="360" w:lineRule="auto"/>
        <w:ind w:left="0"/>
        <w:jc w:val="left"/>
        <w:textAlignment w:val="auto"/>
        <w:outlineLvl w:val="3"/>
        <w:rPr>
          <w:rFonts w:hint="eastAsia" w:ascii="宋体" w:hAnsi="宋体" w:eastAsia="宋体" w:cs="宋体"/>
        </w:rPr>
      </w:pPr>
      <w:bookmarkStart w:id="3" w:name="heading_3"/>
      <w:r>
        <w:rPr>
          <w:rFonts w:hint="eastAsia" w:ascii="宋体" w:hAnsi="宋体" w:eastAsia="宋体" w:cs="宋体"/>
          <w:b/>
          <w:sz w:val="28"/>
        </w:rPr>
        <w:t>2.1.1 驿站场景自动重定位</w:t>
      </w:r>
      <w:bookmarkEnd w:id="3"/>
    </w:p>
    <w:p w14:paraId="7AE944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20" w:line="360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小车在已建图的快递驿站赛事场地内，任意位置重启、移位后，可依托场地激光/视觉特征、栅格地图信息，实现</w:t>
      </w:r>
      <w:r>
        <w:rPr>
          <w:rFonts w:hint="eastAsia" w:ascii="宋体" w:hAnsi="宋体" w:eastAsia="宋体" w:cs="宋体"/>
          <w:b/>
          <w:sz w:val="22"/>
        </w:rPr>
        <w:t>无人工干预自动重定位</w:t>
      </w:r>
      <w:r>
        <w:rPr>
          <w:rFonts w:hint="eastAsia" w:ascii="宋体" w:hAnsi="宋体" w:eastAsia="宋体" w:cs="宋体"/>
          <w:sz w:val="22"/>
        </w:rPr>
        <w:t>。无需手动设点、无需返回充电桩，自动匹配地图坐标，完成定位校准后可直接接收导航任务，适配赛事随机停放、中途停机重启等场景。</w:t>
      </w:r>
    </w:p>
    <w:p w14:paraId="760F92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260" w:line="360" w:lineRule="auto"/>
        <w:ind w:left="0"/>
        <w:jc w:val="left"/>
        <w:textAlignment w:val="auto"/>
        <w:outlineLvl w:val="3"/>
        <w:rPr>
          <w:rFonts w:hint="eastAsia" w:ascii="宋体" w:hAnsi="宋体" w:eastAsia="宋体" w:cs="宋体"/>
        </w:rPr>
      </w:pPr>
      <w:bookmarkStart w:id="4" w:name="heading_4"/>
      <w:r>
        <w:rPr>
          <w:rFonts w:hint="eastAsia" w:ascii="宋体" w:hAnsi="宋体" w:eastAsia="宋体" w:cs="宋体"/>
          <w:b/>
          <w:sz w:val="28"/>
        </w:rPr>
        <w:t>2.1.2 充电桩点位一键强制标定定位</w:t>
      </w:r>
      <w:bookmarkEnd w:id="4"/>
    </w:p>
    <w:p w14:paraId="727C8E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20" w:line="360" w:lineRule="auto"/>
        <w:ind w:left="0" w:firstLine="440" w:firstLineChars="20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赛场设置固定充电回充桩基准点位，支持</w:t>
      </w:r>
      <w:r>
        <w:rPr>
          <w:rFonts w:hint="eastAsia" w:ascii="宋体" w:hAnsi="宋体" w:eastAsia="宋体" w:cs="宋体"/>
          <w:b/>
          <w:sz w:val="22"/>
        </w:rPr>
        <w:t>一键强制标定起始坐标</w:t>
      </w:r>
      <w:r>
        <w:rPr>
          <w:rFonts w:hint="eastAsia" w:ascii="宋体" w:hAnsi="宋体" w:eastAsia="宋体" w:cs="宋体"/>
          <w:sz w:val="22"/>
        </w:rPr>
        <w:t>。小车停靠充电桩后，通过物理按键、串口指令、触屏按钮任意一种方式触发标定，即刻锁定充电桩为全局地图基准原点，快速完成重定位校准。该模式用于解决场地特征稀疏、自动重定位失效、定位漂移等问题，作为赛事兜底定位方案。</w:t>
      </w:r>
    </w:p>
    <w:p w14:paraId="138328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260" w:line="360" w:lineRule="auto"/>
        <w:ind w:left="0"/>
        <w:jc w:val="left"/>
        <w:textAlignment w:val="auto"/>
        <w:outlineLvl w:val="3"/>
        <w:rPr>
          <w:rFonts w:hint="eastAsia" w:ascii="宋体" w:hAnsi="宋体" w:eastAsia="宋体" w:cs="宋体"/>
        </w:rPr>
      </w:pPr>
      <w:bookmarkStart w:id="5" w:name="heading_5"/>
      <w:r>
        <w:rPr>
          <w:rFonts w:hint="eastAsia" w:ascii="宋体" w:hAnsi="宋体" w:eastAsia="宋体" w:cs="宋体"/>
          <w:b/>
          <w:sz w:val="28"/>
        </w:rPr>
        <w:t>2.1.3 手动自由设点标定定位</w:t>
      </w:r>
      <w:bookmarkEnd w:id="5"/>
    </w:p>
    <w:p w14:paraId="343CAF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20" w:line="360" w:lineRule="auto"/>
        <w:ind w:left="0" w:firstLine="440" w:firstLineChars="20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支持人工手动在赛场任意关键点位（快递存放区、交接区、拐角点位、人形机器人对接点位）自定义标定坐标。通过手动设点完成点位坐标录入、地图绑定，后续小车可精准识别自定义点位，支持定点停靠、定点对接、定点导航，适配赛事个性化任务点位设置需求。</w:t>
      </w:r>
    </w:p>
    <w:p w14:paraId="4DD28D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300" w:line="360" w:lineRule="auto"/>
        <w:ind w:left="0"/>
        <w:jc w:val="left"/>
        <w:textAlignment w:val="auto"/>
        <w:outlineLvl w:val="2"/>
        <w:rPr>
          <w:rFonts w:hint="eastAsia" w:ascii="宋体" w:hAnsi="宋体" w:eastAsia="宋体" w:cs="宋体"/>
        </w:rPr>
      </w:pPr>
      <w:bookmarkStart w:id="6" w:name="heading_6"/>
      <w:r>
        <w:rPr>
          <w:rFonts w:hint="eastAsia" w:ascii="宋体" w:hAnsi="宋体" w:eastAsia="宋体" w:cs="宋体"/>
          <w:b/>
          <w:sz w:val="30"/>
        </w:rPr>
        <w:t>2.2 高精度自主导航技术指标</w:t>
      </w:r>
      <w:bookmarkEnd w:id="6"/>
    </w:p>
    <w:p w14:paraId="7F67CB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20" w:line="360" w:lineRule="auto"/>
        <w:ind w:left="0" w:firstLine="440" w:firstLineChars="20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小车全局自主导航、定点停靠、路径跟随、对接就位全过程，</w:t>
      </w:r>
      <w:r>
        <w:rPr>
          <w:rFonts w:hint="eastAsia" w:ascii="宋体" w:hAnsi="宋体" w:eastAsia="宋体" w:cs="宋体"/>
          <w:b/>
          <w:sz w:val="22"/>
        </w:rPr>
        <w:t>位置误差≤10cm</w:t>
      </w:r>
      <w:r>
        <w:rPr>
          <w:rFonts w:hint="eastAsia" w:ascii="宋体" w:hAnsi="宋体" w:eastAsia="宋体" w:cs="宋体"/>
          <w:sz w:val="22"/>
        </w:rPr>
        <w:t>，为赛事核心硬性指标。具体约束如下：</w:t>
      </w:r>
    </w:p>
    <w:p w14:paraId="30FF645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120" w:line="360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直线导航行驶定位误差：≤8cm；</w:t>
      </w:r>
    </w:p>
    <w:p w14:paraId="6FEE7465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120" w:line="360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弯道、拐角通行定位误差：≤10cm；</w:t>
      </w:r>
    </w:p>
    <w:p w14:paraId="0D0532C2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120" w:line="360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目标点位定点停靠、与人形机器人对接就位误差：≤10cm；</w:t>
      </w:r>
    </w:p>
    <w:p w14:paraId="538E879D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120" w:line="360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长时间连续行驶、多次往返导航无累计漂移，全程误差稳定达标。</w:t>
      </w:r>
    </w:p>
    <w:p w14:paraId="5490C5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20" w:line="360" w:lineRule="auto"/>
        <w:ind w:left="0" w:firstLine="220" w:firstLineChars="10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测评方式：赛事随机设置3个配送点位、2个机器人对接点位，五次往返导航停靠，全部点位误差均需低于10cm，视为达标。</w:t>
      </w:r>
    </w:p>
    <w:p w14:paraId="5C67E5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300" w:line="360" w:lineRule="auto"/>
        <w:ind w:left="0"/>
        <w:jc w:val="left"/>
        <w:textAlignment w:val="auto"/>
        <w:outlineLvl w:val="2"/>
        <w:rPr>
          <w:rFonts w:hint="eastAsia" w:ascii="宋体" w:hAnsi="宋体" w:eastAsia="宋体" w:cs="宋体"/>
        </w:rPr>
      </w:pPr>
      <w:bookmarkStart w:id="7" w:name="heading_7"/>
      <w:r>
        <w:rPr>
          <w:rFonts w:hint="eastAsia" w:ascii="宋体" w:hAnsi="宋体" w:eastAsia="宋体" w:cs="宋体"/>
          <w:b/>
          <w:sz w:val="30"/>
        </w:rPr>
        <w:t>2.3 复杂场景自适应算法切换（防卡死机制）</w:t>
      </w:r>
      <w:bookmarkEnd w:id="7"/>
    </w:p>
    <w:p w14:paraId="31940C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20" w:line="360" w:lineRule="auto"/>
        <w:ind w:left="0" w:firstLine="440" w:firstLineChars="20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针对赛事场地拐角、窄通道、场地边缘、特征缺失区域等易卡死场景，小车具备</w:t>
      </w:r>
      <w:r>
        <w:rPr>
          <w:rFonts w:hint="eastAsia" w:ascii="宋体" w:hAnsi="宋体" w:eastAsia="宋体" w:cs="宋体"/>
          <w:b/>
          <w:sz w:val="22"/>
        </w:rPr>
        <w:t>自主算法动态切换能力</w:t>
      </w:r>
      <w:r>
        <w:rPr>
          <w:rFonts w:hint="eastAsia" w:ascii="宋体" w:hAnsi="宋体" w:eastAsia="宋体" w:cs="宋体"/>
          <w:sz w:val="22"/>
        </w:rPr>
        <w:t>，杜绝路径卡死、原地抖动、路径规划失败、停滞不动等问题。</w:t>
      </w:r>
    </w:p>
    <w:p w14:paraId="44122888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120" w:line="360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触发条件：小车检测到拐角通行受阻、路径规划超时、局部避障卡死、边缘路径震荡等异常状态；</w:t>
      </w:r>
    </w:p>
    <w:p w14:paraId="3E2B343B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120" w:line="360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响应时效：</w:t>
      </w:r>
      <w:r>
        <w:rPr>
          <w:rFonts w:hint="eastAsia" w:ascii="宋体" w:hAnsi="宋体" w:eastAsia="宋体" w:cs="宋体"/>
          <w:b/>
          <w:sz w:val="22"/>
        </w:rPr>
        <w:t>2分钟内自动完成导航算法切换与路径重规划</w:t>
      </w:r>
      <w:r>
        <w:rPr>
          <w:rFonts w:hint="eastAsia" w:ascii="宋体" w:hAnsi="宋体" w:eastAsia="宋体" w:cs="宋体"/>
          <w:sz w:val="22"/>
        </w:rPr>
        <w:t>，无需人工干预；</w:t>
      </w:r>
    </w:p>
    <w:p w14:paraId="2F3989F0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120" w:line="360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算法适配：支持全局路径规划算法、局部避障算法、窄道通行算法动态切换，适配拐角、窄边、近墙行驶等复杂场景；</w:t>
      </w:r>
    </w:p>
    <w:p w14:paraId="60610ED9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120" w:line="360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运行效果：算法切换后可正常通行、继续完成配送任务，无停滞、无倒退、无反复卡顿，保障赛事流程连续。</w:t>
      </w:r>
    </w:p>
    <w:p w14:paraId="2C35A3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300" w:line="360" w:lineRule="auto"/>
        <w:ind w:left="0"/>
        <w:jc w:val="left"/>
        <w:textAlignment w:val="auto"/>
        <w:outlineLvl w:val="2"/>
        <w:rPr>
          <w:rFonts w:hint="eastAsia" w:ascii="宋体" w:hAnsi="宋体" w:eastAsia="宋体" w:cs="宋体"/>
        </w:rPr>
      </w:pPr>
      <w:bookmarkStart w:id="8" w:name="heading_8"/>
      <w:r>
        <w:rPr>
          <w:rFonts w:hint="eastAsia" w:ascii="宋体" w:hAnsi="宋体" w:eastAsia="宋体" w:cs="宋体"/>
          <w:b/>
          <w:sz w:val="30"/>
        </w:rPr>
        <w:t>2.4 人形机器人通信与协同控制协议</w:t>
      </w:r>
      <w:bookmarkEnd w:id="8"/>
    </w:p>
    <w:p w14:paraId="3AB18D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20" w:line="360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小车内置标准化通信模块，可稳定与赛事人形机器人建立实时双向通信，实现数据交互、状态同步、指令互控，适配人机协同快递交接、任务联动、状态预警等赛事核心场景，同时提供完整可落地的控制通信协议。</w:t>
      </w:r>
    </w:p>
    <w:p w14:paraId="790A40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260" w:line="360" w:lineRule="auto"/>
        <w:ind w:left="0"/>
        <w:jc w:val="left"/>
        <w:textAlignment w:val="auto"/>
        <w:outlineLvl w:val="3"/>
        <w:rPr>
          <w:rFonts w:hint="eastAsia" w:ascii="宋体" w:hAnsi="宋体" w:eastAsia="宋体" w:cs="宋体"/>
        </w:rPr>
      </w:pPr>
      <w:bookmarkStart w:id="9" w:name="heading_9"/>
      <w:r>
        <w:rPr>
          <w:rFonts w:hint="eastAsia" w:ascii="宋体" w:hAnsi="宋体" w:eastAsia="宋体" w:cs="宋体"/>
          <w:b/>
          <w:sz w:val="28"/>
        </w:rPr>
        <w:t>2.4.1 通信基础要求</w:t>
      </w:r>
      <w:bookmarkEnd w:id="9"/>
    </w:p>
    <w:p w14:paraId="67BDF75B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120" w:line="360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通信方式：支持WiFi/蓝牙/串口通信（任选其一稳定实现即可）；</w:t>
      </w:r>
    </w:p>
    <w:p w14:paraId="196EFE92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120" w:line="360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通信稳定性：赛事全程无断连、无数据丢包，异常断连后可自动重连；</w:t>
      </w:r>
    </w:p>
    <w:p w14:paraId="1BD0CEF1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120" w:line="360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数据同步：实时同步小车位置、行驶状态、任务进度、故障状态、停靠点位信息。</w:t>
      </w:r>
    </w:p>
    <w:p w14:paraId="289B15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260" w:line="360" w:lineRule="auto"/>
        <w:ind w:left="0"/>
        <w:jc w:val="left"/>
        <w:textAlignment w:val="auto"/>
        <w:outlineLvl w:val="3"/>
        <w:rPr>
          <w:rFonts w:hint="eastAsia" w:ascii="宋体" w:hAnsi="宋体" w:eastAsia="宋体" w:cs="宋体"/>
        </w:rPr>
      </w:pPr>
      <w:bookmarkStart w:id="10" w:name="heading_10"/>
      <w:r>
        <w:rPr>
          <w:rFonts w:hint="eastAsia" w:ascii="宋体" w:hAnsi="宋体" w:eastAsia="宋体" w:cs="宋体"/>
          <w:b/>
          <w:sz w:val="28"/>
        </w:rPr>
        <w:t>2.4.2 核心交互功能</w:t>
      </w:r>
      <w:bookmarkEnd w:id="10"/>
    </w:p>
    <w:p w14:paraId="3DC42C81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120" w:line="360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小车主动上报：到达对接点、配送完成、卡顿告警、电量不足、定位异常等状态；</w:t>
      </w:r>
    </w:p>
    <w:p w14:paraId="2220B1F4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120" w:line="360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人形机器人下发指令：启动导航、暂停行驶、定点停靠、紧急停止、重新规划路径、开始货物交接；</w:t>
      </w:r>
    </w:p>
    <w:p w14:paraId="3C3EC605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120" w:line="360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协同联动：小车就位后触发人形机器人取放件动作，机器人完成交接后下发继续配送指令，实现全流程无人协同。</w:t>
      </w:r>
    </w:p>
    <w:p w14:paraId="5534FC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260" w:line="360" w:lineRule="auto"/>
        <w:ind w:left="0"/>
        <w:jc w:val="left"/>
        <w:textAlignment w:val="auto"/>
        <w:outlineLvl w:val="3"/>
        <w:rPr>
          <w:rFonts w:hint="eastAsia" w:ascii="宋体" w:hAnsi="宋体" w:eastAsia="宋体" w:cs="宋体"/>
        </w:rPr>
      </w:pPr>
      <w:bookmarkStart w:id="11" w:name="heading_11"/>
      <w:r>
        <w:rPr>
          <w:rFonts w:hint="eastAsia" w:ascii="宋体" w:hAnsi="宋体" w:eastAsia="宋体" w:cs="宋体"/>
          <w:b/>
          <w:sz w:val="28"/>
        </w:rPr>
        <w:t>2.4.3 通用控制协议规范（赛事通用标准）</w:t>
      </w:r>
      <w:bookmarkEnd w:id="11"/>
    </w:p>
    <w:p w14:paraId="729DB8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20" w:line="360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协议采用简洁通用的文本帧格式，支持解析与二次开发，核心通信帧定义如下：</w:t>
      </w:r>
    </w:p>
    <w:p w14:paraId="15A79D3C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120" w:line="360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心跳帧：用于设备在线检测，1s/次上报；</w:t>
      </w:r>
    </w:p>
    <w:p w14:paraId="1C463089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120" w:line="360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状态上报帧：小车位置、速度、任务状态，；</w:t>
      </w:r>
    </w:p>
    <w:p w14:paraId="7369B483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120" w:line="360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指令接收帧：机器人控制小车指令，包含启动、暂停、急停、对接停靠等；</w:t>
      </w:r>
    </w:p>
    <w:p w14:paraId="6CE686E1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120" w:line="360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任务完成帧：配送到位、交接完成反馈；</w:t>
      </w:r>
    </w:p>
    <w:p w14:paraId="2337FC07"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120" w:line="360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故障告警帧：卡死、定位失效、通信异常告警。</w:t>
      </w:r>
    </w:p>
    <w:p w14:paraId="495CD7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300" w:line="360" w:lineRule="auto"/>
        <w:ind w:left="0"/>
        <w:jc w:val="left"/>
        <w:textAlignment w:val="auto"/>
        <w:outlineLvl w:val="2"/>
        <w:rPr>
          <w:rFonts w:hint="eastAsia" w:ascii="宋体" w:hAnsi="宋体" w:eastAsia="宋体" w:cs="宋体"/>
        </w:rPr>
      </w:pPr>
      <w:bookmarkStart w:id="12" w:name="heading_12"/>
      <w:r>
        <w:rPr>
          <w:rFonts w:hint="eastAsia" w:ascii="宋体" w:hAnsi="宋体" w:eastAsia="宋体" w:cs="宋体"/>
          <w:b/>
          <w:sz w:val="30"/>
        </w:rPr>
        <w:t>2.5 底盘控制总线与硬件接口预留规范</w:t>
      </w:r>
      <w:bookmarkEnd w:id="12"/>
    </w:p>
    <w:p w14:paraId="6E25DA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20" w:line="360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为满足赛事选手自主调试、二次开发、硬件拓展需求，快递运送小车底盘控制系统需标准化整理整机接线规范，并预留充足可自由使用的硬件接线接口，支持选手自主接线、功能拓展与硬件适配调试，保障赛事开发灵活性与公平性。</w:t>
      </w:r>
    </w:p>
    <w:p w14:paraId="5D17A828">
      <w:pPr>
        <w:keepNext w:val="0"/>
        <w:keepLines w:val="0"/>
        <w:pageBreakBefore w:val="0"/>
        <w:widowControl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120" w:line="360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总线规范整理：小车底盘控制总线需统一规范接线定义、引脚功能、电压参数、信号类型，输出完整的底盘接线说明书，明确动力总线、信号总线、传感器总线、通信总线的接线标准、正负极定义、防接错保护规则，方便选手查阅与标准化接线操作。</w:t>
      </w:r>
    </w:p>
    <w:p w14:paraId="0E1D0E27">
      <w:pPr>
        <w:keepNext w:val="0"/>
        <w:keepLines w:val="0"/>
        <w:pageBreakBefore w:val="0"/>
        <w:widowControl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120" w:line="360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硬件接口预留要求：底盘需预留足量空闲外接接口，包含通用IO接口、串口接口、电源供电接口、信号拓展接口，所有预留接口裸露清晰、引脚标识明确，无封装遮挡，支持选手自主接线、外接拓展模块、自定义硬件调试。</w:t>
      </w:r>
    </w:p>
    <w:p w14:paraId="4D261ADC">
      <w:pPr>
        <w:keepNext w:val="0"/>
        <w:keepLines w:val="0"/>
        <w:pageBreakBefore w:val="0"/>
        <w:widowControl w:val="0"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120" w:line="360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接口性能要求：预留接口具备过载保护、短路保护功能，支持常规电压、信号接入调试，接线操作不影响小车原有导航、定位、通信、行驶等核心功能运行稳定，无干扰、无死机、无功能异常。</w:t>
      </w:r>
    </w:p>
    <w:p w14:paraId="34D3E512">
      <w:pPr>
        <w:keepNext w:val="0"/>
        <w:keepLines w:val="0"/>
        <w:pageBreakBefore w:val="0"/>
        <w:widowControl w:val="0"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120" w:line="360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开发适配要求：所有预留接口无硬件锁死、无程序屏蔽，完全开放二次开发权限，选手可基于预留接口完成自主接线、功能改装、硬件拓展、参数调试，适配赛事个性化开发任务。</w:t>
      </w:r>
    </w:p>
    <w:p w14:paraId="7A2B48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320" w:line="360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</w:rPr>
      </w:pPr>
      <w:bookmarkStart w:id="13" w:name="heading_13"/>
      <w:r>
        <w:rPr>
          <w:rFonts w:hint="eastAsia" w:ascii="宋体" w:hAnsi="宋体" w:eastAsia="宋体" w:cs="宋体"/>
          <w:b/>
          <w:sz w:val="32"/>
        </w:rPr>
        <w:t>3. 赛事通用约束要求</w:t>
      </w:r>
      <w:bookmarkEnd w:id="13"/>
    </w:p>
    <w:p w14:paraId="2BBA85B8">
      <w:pPr>
        <w:keepNext w:val="0"/>
        <w:keepLines w:val="0"/>
        <w:pageBreakBefore w:val="0"/>
        <w:widowControl w:val="0"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120" w:line="360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稳定性：小车整场赛事运行无死机、无闪退、无频繁定位丢失，算法切换、通信交互全程稳定；</w:t>
      </w:r>
    </w:p>
    <w:p w14:paraId="5027F684">
      <w:pPr>
        <w:keepNext w:val="0"/>
        <w:keepLines w:val="0"/>
        <w:pageBreakBefore w:val="0"/>
        <w:widowControl w:val="0"/>
        <w:numPr>
          <w:ilvl w:val="0"/>
          <w:numId w:val="25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120" w:line="360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实时性：重定位、算法切换、指令响应均满足时效要求，无超时滞后问题；</w:t>
      </w:r>
    </w:p>
    <w:p w14:paraId="46BAD387">
      <w:pPr>
        <w:keepNext w:val="0"/>
        <w:keepLines w:val="0"/>
        <w:pageBreakBefore w:val="0"/>
        <w:widowControl w:val="0"/>
        <w:numPr>
          <w:ilvl w:val="0"/>
          <w:numId w:val="26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120" w:line="360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兼容性：通信协议开放透明，可适配赛事统一人形机器人设备，支持跨队伍、跨设备协同适配；</w:t>
      </w:r>
    </w:p>
    <w:p w14:paraId="5B16CD74">
      <w:pPr>
        <w:keepNext w:val="0"/>
        <w:keepLines w:val="0"/>
        <w:pageBreakBefore w:val="0"/>
        <w:widowControl w:val="0"/>
        <w:numPr>
          <w:ilvl w:val="0"/>
          <w:numId w:val="27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120" w:line="360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容错性：针对场地轻微光线变化、地面轻微干扰、临时遮挡，仍可保障导航与定位精度达标。</w:t>
      </w:r>
    </w:p>
    <w:p w14:paraId="6D0A3F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320" w:line="360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</w:rPr>
      </w:pPr>
      <w:bookmarkStart w:id="14" w:name="heading_14"/>
      <w:r>
        <w:rPr>
          <w:rFonts w:hint="eastAsia" w:ascii="宋体" w:hAnsi="宋体" w:eastAsia="宋体" w:cs="宋体"/>
          <w:b/>
          <w:sz w:val="32"/>
        </w:rPr>
        <w:t>4. 赛事评分关联说明</w:t>
      </w:r>
      <w:bookmarkEnd w:id="14"/>
    </w:p>
    <w:p w14:paraId="3658ACBA">
      <w:pPr>
        <w:keepNext w:val="0"/>
        <w:keepLines w:val="0"/>
        <w:pageBreakBefore w:val="0"/>
        <w:widowControl w:val="0"/>
        <w:numPr>
          <w:ilvl w:val="0"/>
          <w:numId w:val="28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120" w:line="360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多</w:t>
      </w:r>
      <w:bookmarkStart w:id="15" w:name="_GoBack"/>
      <w:r>
        <w:rPr>
          <w:rFonts w:hint="eastAsia" w:ascii="宋体" w:hAnsi="宋体" w:eastAsia="宋体" w:cs="宋体"/>
          <w:sz w:val="22"/>
        </w:rPr>
        <w:t>模式重定位功能完整实现、无定位失效，为基础得分项，缺失任意一种模式直接扣分；</w:t>
      </w:r>
    </w:p>
    <w:p w14:paraId="55A3C176">
      <w:pPr>
        <w:keepNext w:val="0"/>
        <w:keepLines w:val="0"/>
        <w:pageBreakBefore w:val="0"/>
        <w:widowControl w:val="0"/>
        <w:numPr>
          <w:ilvl w:val="0"/>
          <w:numId w:val="29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120" w:line="360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导航精度≤10cm为核心评分指标，精度越优、误差越小，得分越高，超标直接判定任务失效；</w:t>
      </w:r>
    </w:p>
    <w:p w14:paraId="6A60C972">
      <w:pPr>
        <w:keepNext w:val="0"/>
        <w:keepLines w:val="0"/>
        <w:pageBreakBefore w:val="0"/>
        <w:widowControl w:val="0"/>
        <w:numPr>
          <w:ilvl w:val="0"/>
          <w:numId w:val="3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120" w:line="360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拐角场景2分钟内算法自适应、无卡死，为稳定性评分核心依据，卡死超时视为任务失败；</w:t>
      </w:r>
    </w:p>
    <w:p w14:paraId="7EBEE0C8">
      <w:pPr>
        <w:keepNext w:val="0"/>
        <w:keepLines w:val="0"/>
        <w:pageBreakBefore w:val="0"/>
        <w:widowControl w:val="0"/>
        <w:numPr>
          <w:ilvl w:val="0"/>
          <w:numId w:val="3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120" w:line="360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人机通信正常、协议规范、协同流畅，为人机协同赛项专项得分点，通信异常、联动失效扣除协同总分。</w:t>
      </w:r>
    </w:p>
    <w:p w14:paraId="66EBB365">
      <w:pPr>
        <w:keepNext w:val="0"/>
        <w:keepLines w:val="0"/>
        <w:pageBreakBefore w:val="0"/>
        <w:widowControl w:val="0"/>
        <w:numPr>
          <w:ilvl w:val="0"/>
          <w:numId w:val="32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120" w:line="360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底盘接线规范完整、硬件接口预留充足、开放可开发，为选手自主调试核心保障，接口封闭、规范缺失、无预留拓展接口将扣除硬件适配专项分数。</w:t>
      </w:r>
    </w:p>
    <w:bookmarkEnd w:id="15"/>
    <w:p w14:paraId="2C95EDC7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20E318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3D572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13"/>
  </w:num>
  <w:num w:numId="2">
    <w:abstractNumId w:val="9"/>
  </w:num>
  <w:num w:numId="3">
    <w:abstractNumId w:val="25"/>
  </w:num>
  <w:num w:numId="4">
    <w:abstractNumId w:val="7"/>
  </w:num>
  <w:num w:numId="5">
    <w:abstractNumId w:val="5"/>
  </w:num>
  <w:num w:numId="6">
    <w:abstractNumId w:val="15"/>
  </w:num>
  <w:num w:numId="7">
    <w:abstractNumId w:val="18"/>
  </w:num>
  <w:num w:numId="8">
    <w:abstractNumId w:val="29"/>
  </w:num>
  <w:num w:numId="9">
    <w:abstractNumId w:val="14"/>
  </w:num>
  <w:num w:numId="10">
    <w:abstractNumId w:val="1"/>
  </w:num>
  <w:num w:numId="11">
    <w:abstractNumId w:val="19"/>
  </w:num>
  <w:num w:numId="12">
    <w:abstractNumId w:val="26"/>
  </w:num>
  <w:num w:numId="13">
    <w:abstractNumId w:val="8"/>
  </w:num>
  <w:num w:numId="14">
    <w:abstractNumId w:val="23"/>
  </w:num>
  <w:num w:numId="15">
    <w:abstractNumId w:val="12"/>
  </w:num>
  <w:num w:numId="16">
    <w:abstractNumId w:val="17"/>
  </w:num>
  <w:num w:numId="17">
    <w:abstractNumId w:val="11"/>
  </w:num>
  <w:num w:numId="18">
    <w:abstractNumId w:val="10"/>
  </w:num>
  <w:num w:numId="19">
    <w:abstractNumId w:val="3"/>
  </w:num>
  <w:num w:numId="20">
    <w:abstractNumId w:val="22"/>
  </w:num>
  <w:num w:numId="21">
    <w:abstractNumId w:val="27"/>
  </w:num>
  <w:num w:numId="22">
    <w:abstractNumId w:val="16"/>
  </w:num>
  <w:num w:numId="23">
    <w:abstractNumId w:val="21"/>
  </w:num>
  <w:num w:numId="24">
    <w:abstractNumId w:val="4"/>
  </w:num>
  <w:num w:numId="25">
    <w:abstractNumId w:val="31"/>
  </w:num>
  <w:num w:numId="26">
    <w:abstractNumId w:val="30"/>
  </w:num>
  <w:num w:numId="27">
    <w:abstractNumId w:val="6"/>
  </w:num>
  <w:num w:numId="28">
    <w:abstractNumId w:val="28"/>
  </w:num>
  <w:num w:numId="29">
    <w:abstractNumId w:val="2"/>
  </w:num>
  <w:num w:numId="30">
    <w:abstractNumId w:val="20"/>
  </w:num>
  <w:num w:numId="31">
    <w:abstractNumId w:val="0"/>
  </w:num>
  <w:num w:numId="3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3A521F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2720</Words>
  <Characters>2836</Characters>
  <TotalTime>2</TotalTime>
  <ScaleCrop>false</ScaleCrop>
  <LinksUpToDate>false</LinksUpToDate>
  <CharactersWithSpaces>2853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2026-07-07T06:39:00Z</dcterms:created>
  <dc:creator>Apache POI</dc:creator>
  <cp:lastModifiedBy>潘温君</cp:lastModifiedBy>
  <dcterms:modified xsi:type="dcterms:W3CDTF">2026-07-07T06:42:44Z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{"Label":"1","ContentProducer":"001191110102MACQD9K64010000","ProduceID":"7659672039829539797","ReservedCode1":"","ContentPropagator":"","PropagateID":"","ReservedCode2":""}</vt:lpwstr>
  </property>
  <property fmtid="{D5CDD505-2E9C-101B-9397-08002B2CF9AE}" pid="3" name="KSOTemplateDocerSaveRecord">
    <vt:lpwstr>eyJoZGlkIjoiZTVkNjVkNWJhNjVlYWZiNDNhZjYwYWVhZDQ0MDQzNTgiLCJ1c2VySWQiOiI0MDkxMjExNDEifQ==</vt:lpwstr>
  </property>
  <property fmtid="{D5CDD505-2E9C-101B-9397-08002B2CF9AE}" pid="4" name="KSOProductBuildVer">
    <vt:lpwstr>2052-12.1.0.26895</vt:lpwstr>
  </property>
  <property fmtid="{D5CDD505-2E9C-101B-9397-08002B2CF9AE}" pid="5" name="ICV">
    <vt:lpwstr>3C0E359CB29E4C24A9FC2F09D51CDA10_12</vt:lpwstr>
  </property>
</Properties>
</file>