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3D6E"/>
          <w:sz w:val="56"/>
        </w:rPr>
        <w:t>清数智算投研工作台</w:t>
        <w:br/>
        <w:t>股票分析算法技术文档</w:t>
      </w:r>
    </w:p>
    <w:p/>
    <w:p>
      <w:pPr>
        <w:jc w:val="center"/>
      </w:pPr>
      <w:r>
        <w:rPr>
          <w:color w:val="475569"/>
          <w:sz w:val="28"/>
        </w:rPr>
        <w:t>清数智算创新团队</w:t>
        <w:br/>
        <w:t>版本 2.0 · 2026年6月</w:t>
      </w:r>
    </w:p>
    <w:p/>
    <w:p>
      <w:pPr>
        <w:jc w:val="center"/>
      </w:pPr>
      <w:r>
        <w:rPr>
          <w:color w:val="943A3F"/>
          <w:sz w:val="20"/>
        </w:rPr>
        <w:t>免责声明：本文档描述的所有算法仅用于研究和辅助分析，不构成任何投资建议。</w:t>
        <w:br/>
        <w:t>股市有风险，投资需谨慎。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系统架构概述</w:t>
      </w:r>
    </w:p>
    <w:p>
      <w:pPr>
        <w:spacing w:after="40"/>
      </w:pPr>
      <w:r>
        <w:t>2. 数据采集与预处理</w:t>
      </w:r>
    </w:p>
    <w:p>
      <w:pPr>
        <w:spacing w:after="40"/>
      </w:pPr>
      <w:r>
        <w:t>3. 技术指标计算</w:t>
      </w:r>
    </w:p>
    <w:p>
      <w:pPr>
        <w:spacing w:after="40"/>
      </w:pPr>
      <w:r>
        <w:t>4. 五维评分模型</w:t>
      </w:r>
    </w:p>
    <w:p>
      <w:pPr>
        <w:spacing w:after="40"/>
      </w:pPr>
      <w:r>
        <w:t xml:space="preserve">  4.1 质量评分（30分）</w:t>
      </w:r>
    </w:p>
    <w:p>
      <w:pPr>
        <w:spacing w:after="40"/>
      </w:pPr>
      <w:r>
        <w:t xml:space="preserve">  4.2 估值评分（20分）</w:t>
      </w:r>
    </w:p>
    <w:p>
      <w:pPr>
        <w:spacing w:after="40"/>
      </w:pPr>
      <w:r>
        <w:t xml:space="preserve">  4.3 成长评分（20分）</w:t>
      </w:r>
    </w:p>
    <w:p>
      <w:pPr>
        <w:spacing w:after="40"/>
      </w:pPr>
      <w:r>
        <w:t xml:space="preserve">  4.4 趋势评分（20分）</w:t>
      </w:r>
    </w:p>
    <w:p>
      <w:pPr>
        <w:spacing w:after="40"/>
      </w:pPr>
      <w:r>
        <w:t xml:space="preserve">  4.5 风险评分（10分）</w:t>
      </w:r>
    </w:p>
    <w:p>
      <w:pPr>
        <w:spacing w:after="40"/>
      </w:pPr>
      <w:r>
        <w:t xml:space="preserve">  4.6 综合评级</w:t>
      </w:r>
    </w:p>
    <w:p>
      <w:pPr>
        <w:spacing w:after="40"/>
      </w:pPr>
      <w:r>
        <w:t xml:space="preserve">  4.7 行业内百分位排名</w:t>
      </w:r>
    </w:p>
    <w:p>
      <w:pPr>
        <w:spacing w:after="40"/>
      </w:pPr>
      <w:r>
        <w:t xml:space="preserve">  4.8 前视偏差防护</w:t>
      </w:r>
    </w:p>
    <w:p>
      <w:pPr>
        <w:spacing w:after="40"/>
      </w:pPr>
      <w:r>
        <w:t>5. 交易信号生成</w:t>
      </w:r>
    </w:p>
    <w:p>
      <w:pPr>
        <w:spacing w:after="40"/>
      </w:pPr>
      <w:r>
        <w:t>6. 策略回测系统</w:t>
      </w:r>
    </w:p>
    <w:p>
      <w:pPr>
        <w:spacing w:after="40"/>
      </w:pPr>
      <w:r>
        <w:t>7. 仪表盘聚合</w:t>
      </w:r>
    </w:p>
    <w:p>
      <w:pPr>
        <w:spacing w:after="40"/>
      </w:pPr>
      <w:r>
        <w:t>8. 报告生成引擎</w:t>
      </w:r>
    </w:p>
    <w:p>
      <w:pPr>
        <w:spacing w:after="40"/>
      </w:pPr>
      <w:r>
        <w:t>9. 算法参数与阈值</w:t>
      </w:r>
    </w:p>
    <w:p>
      <w:pPr>
        <w:spacing w:after="40"/>
      </w:pPr>
      <w:r>
        <w:t>10. 结论与局限性</w:t>
      </w:r>
    </w:p>
    <w:p>
      <w:r>
        <w:br w:type="page"/>
      </w:r>
    </w:p>
    <w:p>
      <w:pPr>
        <w:pStyle w:val="Heading1"/>
      </w:pPr>
      <w:r>
        <w:t>1. 系统架构概述</w:t>
      </w:r>
    </w:p>
    <w:p>
      <w:r>
        <w:t>清数智算投研工作台是一套面向 A 股（沪深）和港股中长期基本面量化选股与交易信号的研究辅助系统。系统从数据采集入手，依次经过技术指标计算、五维评分、信号生成、报告撰写和策略回测，形成端到端的量化投研流水线。</w:t>
      </w:r>
    </w:p>
    <w:p>
      <w:r>
        <w:t>系统算法核心流程：</w:t>
      </w:r>
    </w:p>
    <w:p>
      <w:pPr>
        <w:pStyle w:val="ListBullet"/>
      </w:pPr>
      <w:r>
        <w:t>① 数据采集：从东方财富、Yahoo Finance、雪球等 API 获取实时行情、财务指标和券商研报；</w:t>
      </w:r>
    </w:p>
    <w:p>
      <w:pPr>
        <w:pStyle w:val="ListBullet"/>
      </w:pPr>
      <w:r>
        <w:t>② 技术指标：基于价格序列计算 MA、MACD、RSI、布林带、成交量均线等经典技术指标；</w:t>
      </w:r>
    </w:p>
    <w:p>
      <w:pPr>
        <w:pStyle w:val="ListBullet"/>
      </w:pPr>
      <w:r>
        <w:t>③ 五维评分：使用行业内百分位排名方法，计算质量(30)+估值(20)+成长(20)+趋势(20)+风险(10)=100分；</w:t>
      </w:r>
    </w:p>
    <w:p>
      <w:pPr>
        <w:pStyle w:val="ListBullet"/>
      </w:pPr>
      <w:r>
        <w:t>④ 信号生成：基于评分结果和趋势确认，生成 BUY/ADD/WATCH/REDUCE/SELL 五级研究信号；</w:t>
      </w:r>
    </w:p>
    <w:p>
      <w:pPr>
        <w:pStyle w:val="ListBullet"/>
      </w:pPr>
      <w:r>
        <w:t>⑤ 报告引擎：自动生成每日策略报告、个股深度报告和风格化策略报告；</w:t>
      </w:r>
    </w:p>
    <w:p>
      <w:pPr>
        <w:pStyle w:val="ListBullet"/>
      </w:pPr>
      <w:r>
        <w:t>⑥ 策略回测：历史数据驱动的组合模拟，含交易成本、滑点和涨跌停约束。</w:t>
      </w:r>
    </w:p>
    <w:p>
      <w:r>
        <w:br w:type="page"/>
      </w:r>
    </w:p>
    <w:p>
      <w:pPr>
        <w:pStyle w:val="Heading1"/>
      </w:pPr>
      <w:r>
        <w:t>2. 数据采集与预处理</w:t>
      </w:r>
    </w:p>
    <w:p>
      <w:pPr>
        <w:pStyle w:val="Heading2"/>
      </w:pPr>
      <w:r>
        <w:t>2.1 多数据源架构</w:t>
      </w:r>
    </w:p>
    <w:p>
      <w:r>
        <w:t>系统采用 CompositeProvider 模式聚合多个数据源，按优先级自动切换：</w:t>
      </w:r>
    </w:p>
    <w:p>
      <w:pPr>
        <w:pStyle w:val="ListBullet"/>
      </w:pPr>
      <w:r>
        <w:t>东方财富 (EastMoneyProvider)：A 股实时行情、财务指标、券商研报、股票列表同步</w:t>
      </w:r>
    </w:p>
    <w:p>
      <w:pPr>
        <w:pStyle w:val="ListBullet"/>
      </w:pPr>
      <w:r>
        <w:t>Yahoo Finance (YahooProvider)：港股行情、国际财务数据</w:t>
      </w:r>
    </w:p>
    <w:p>
      <w:pPr>
        <w:pStyle w:val="ListBullet"/>
      </w:pPr>
      <w:r>
        <w:t>雪球 (XueqiuProvider)：A 股/港股补充数据</w:t>
      </w:r>
    </w:p>
    <w:p>
      <w:pPr>
        <w:pStyle w:val="ListBullet"/>
      </w:pPr>
      <w:r>
        <w:t>AKShare：A 股宏观经济指标和市场数据</w:t>
      </w:r>
    </w:p>
    <w:p>
      <w:pPr>
        <w:pStyle w:val="ListBullet"/>
      </w:pPr>
      <w:r>
        <w:t>MockProvider：开发/演示环境使用的模拟数据生成器</w:t>
      </w:r>
    </w:p>
    <w:p>
      <w:pPr>
        <w:pStyle w:val="Heading2"/>
      </w:pPr>
      <w:r>
        <w:t>2.2 股票同步流程</w:t>
      </w:r>
    </w:p>
    <w:p>
      <w:r>
        <w:t>系统启动时通过 sync_stock_list() 函数从东方财富 API 同步全量 A 股和港股列表。同步过程分页抓取（A 股约 17 页，港股约 99 页），每页 50-100 条记录，自动剔除已退市和 ST 股（保留历史数据供回测使用），入库前按 symbol 去重。数据字段包括：股票代码(symbol)、名称(name)、市场(market)、交易所(exchange)、行业(industry)、板块(sector)、状态(status)。</w:t>
      </w:r>
    </w:p>
    <w:p>
      <w:pPr>
        <w:pStyle w:val="Heading2"/>
      </w:pPr>
      <w:r>
        <w:t>2.3 行情数据抓取</w:t>
      </w:r>
    </w:p>
    <w:p>
      <w:r>
        <w:t>使用多线程（3 个 worker）并发从数据源抓取每只股票近 180 个交易日的日线数据，包含：开盘价(open)、最高价(high)、最低价(low)、收盘价(close)、前收盘价(pre_close)、成交量(volume)、成交额(turnover)、换手率(turnover_rate)、市值(market_cap)、市盈率(PE)、市净率(PB)、股息率(dividend_yield)。每 500 只股票批量写入一次数据库以减少 IO。</w:t>
      </w:r>
    </w:p>
    <w:p>
      <w:pPr>
        <w:pStyle w:val="Heading2"/>
      </w:pPr>
      <w:r>
        <w:t>2.4 财务数据抓取</w:t>
      </w:r>
    </w:p>
    <w:p>
      <w:r>
        <w:t>同样使用多线程（3 个 worker）抓取财务指标，包含：营收(revenue)、营收同比(revenue_yoy)、净利润(net_profit)、利润同比(net_profit_yoy)、毛利率(gross_margin)、净利率(net_margin)、净资产收益率(ROE)、总资产收益率(ROA)、资产负债率(debt_ratio)、经营现金流(operating_cashflow)、自由现金流(free_cashflow)、每股收益(EPS)、每股净资产(book_value_per_share)。财务数据按报告期(report_period)组织，支持多期追溯。</w:t>
      </w:r>
    </w:p>
    <w:p>
      <w:r>
        <w:br w:type="page"/>
      </w:r>
    </w:p>
    <w:p>
      <w:pPr>
        <w:pStyle w:val="Heading1"/>
      </w:pPr>
      <w:r>
        <w:t>3. 技术指标计算</w:t>
      </w:r>
    </w:p>
    <w:p>
      <w:pPr>
        <w:pStyle w:val="Heading2"/>
      </w:pPr>
      <w:r>
        <w:t>3.1 均线系统（MA）</w:t>
      </w:r>
    </w:p>
    <w:p>
      <w:r>
        <w:t>简单移动平均线 (Simple Moving Average, SMA)，计算公式：</w:t>
        <w:br/>
        <w:t xml:space="preserve">    MA(N) = (P₁ + P₂ + ... + P_N) / N</w:t>
        <w:br/>
        <w:t>系统计算 20 日(MA20)、60 日(MA60)、120 日(MA120)三条均线。MA20 反映短期趋势，MA60 反映中期趋势，MA120 反映长期趋势。数据不足对应天数时，对应均线字段为 NULL。</w:t>
      </w:r>
    </w:p>
    <w:p>
      <w:pPr>
        <w:pStyle w:val="Heading2"/>
      </w:pPr>
      <w:r>
        <w:t>3.2 MACD 指标</w:t>
      </w:r>
    </w:p>
    <w:p>
      <w:r>
        <w:t>指数平滑异同移动平均线 (Moving Average Convergence Divergence)，计算步骤：</w:t>
        <w:br/>
        <w:t xml:space="preserve">    ① EMA12 = 前一日 EMA12 × 11/13 + 今日收盘价 × 2/13</w:t>
        <w:br/>
        <w:t xml:space="preserve">    ② EMA26 = 前一日 EMA26 × 25/27 + 今日收盘价 × 2/27</w:t>
        <w:br/>
        <w:t xml:space="preserve">    ③ DIF = EMA12 - EMA26</w:t>
        <w:br/>
        <w:t xml:space="preserve">    ④ DEA (MACD_Signal) = 前一日 DEA × 8/10 + 今日 DIF × 2/10</w:t>
        <w:br/>
        <w:t xml:space="preserve">    ⑤ MACD 柱 (MACD_Hist) = DIF - DEA</w:t>
        <w:br/>
        <w:t>初始 EMA 值使用第一日收盘价。EMA 平滑系数 α = 2/(N+1)，指数权重递减。</w:t>
      </w:r>
    </w:p>
    <w:p>
      <w:pPr>
        <w:pStyle w:val="Heading2"/>
      </w:pPr>
      <w:r>
        <w:t>3.3 RSI 指标</w:t>
      </w:r>
    </w:p>
    <w:p>
      <w:r>
        <w:t>相对强弱指数 (Relative Strength Index, 14 日)，使用 Wilder 平滑算法：</w:t>
        <w:br/>
        <w:t xml:space="preserve">    ① 计算每日涨跌：gain = max(close_t - close_{t-1}, 0) / loss = max(close_{t-1} - close_t, 0)</w:t>
        <w:br/>
        <w:t xml:space="preserve">    ② 初始平均涨跌：AvgGain = 前 14 日 gain 均值 / AvgLoss = 前 14 日 loss 均值</w:t>
        <w:br/>
        <w:t xml:space="preserve">    ③ 后续使用 Wilder 平滑：AvgGain_t = (AvgGain_{t-1} × 13 + gain_t) / 14</w:t>
        <w:br/>
        <w:t xml:space="preserve">    ④ RS = AvgGain / AvgLoss</w:t>
        <w:br/>
        <w:t xml:space="preserve">    ⑤ RSI = 100 - 100 / (1 + RS)</w:t>
        <w:br/>
        <w:t>RSI &gt; 70 通常视为超买，RSI &lt; 30 通常视为超卖。数据不足 15 日时 RSI 为 NULL。</w:t>
      </w:r>
    </w:p>
    <w:p>
      <w:pPr>
        <w:pStyle w:val="Heading2"/>
      </w:pPr>
      <w:r>
        <w:t>3.4 布林带 (Bollinger Bands)</w:t>
      </w:r>
    </w:p>
    <w:p>
      <w:r>
        <w:t>基于 20 日均线和标准差的价格通道：</w:t>
        <w:br/>
        <w:t xml:space="preserve">    ① 中轨 = MA20</w:t>
        <w:br/>
        <w:t xml:space="preserve">    ② 上轨 = MA20 + 2 × σ (σ 为 20 日收盘价总体标准差，使用 ddof=1 无偏估计)</w:t>
        <w:br/>
        <w:t xml:space="preserve">    ③ 下轨 = MA20 - 2 × σ</w:t>
        <w:br/>
        <w:t>布林带宽度 (Bandwidth) = (上轨 - 下轨) / 中轨 × 100%，用于衡量波动率。</w:t>
      </w:r>
    </w:p>
    <w:p>
      <w:pPr>
        <w:pStyle w:val="Heading2"/>
      </w:pPr>
      <w:r>
        <w:t>3.5 成交量均线</w:t>
      </w:r>
    </w:p>
    <w:p>
      <w:r>
        <w:t xml:space="preserve">    Volume_MA5 = 近 5 日成交量均值</w:t>
        <w:br/>
        <w:t xml:space="preserve">    Volume_MA20 = 近 20 日成交量均值</w:t>
        <w:br/>
        <w:t xml:space="preserve">    成交量比率 = Volume_MA5 / Volume_MA20</w:t>
        <w:br/>
        <w:t>比率 1.1-2.0 视为温和放量，&gt;2.0 视为异常放量，&lt;1.0 视为缩量。</w:t>
      </w:r>
    </w:p>
    <w:p>
      <w:pPr>
        <w:pStyle w:val="Heading2"/>
      </w:pPr>
      <w:r>
        <w:t>3.6 估值补充计算</w:t>
      </w:r>
    </w:p>
    <w:p>
      <w:r>
        <w:t>在种子数据阶段，从最新价格和财务数据交叉计算 PE 和 PB：</w:t>
        <w:br/>
        <w:t xml:space="preserve">    PE = 收盘价 / EPS（每股收益）</w:t>
        <w:br/>
        <w:t xml:space="preserve">    PB = 收盘价 / 每股净资产（book_value_per_share）</w:t>
        <w:br/>
        <w:t>EPS ≤ 0 或 book_value ≤ 0 时，对应指标为 NULL。</w:t>
      </w:r>
    </w:p>
    <w:p>
      <w:r>
        <w:br w:type="page"/>
      </w:r>
    </w:p>
    <w:p>
      <w:pPr>
        <w:pStyle w:val="Heading1"/>
      </w:pPr>
      <w:r>
        <w:t>4. 五维评分模型</w:t>
      </w:r>
    </w:p>
    <w:p>
      <w:r>
        <w:t>五维评分是系统的核心量化引擎，将每只股票从五个独立维度分别评分，合成 0-100 分总分。评分体系为：质量(0-30) + 估值(0-20) + 成长(0-20) + 趋势(0-20) + 风险(0-10) = 总分(0-100)。各维度之间消除指标重复计算（如 PE 只在估值维度计分，不在风险维度重复）。系统优先使用行业内百分位排名评分，当行业样本不足时回退到绝对阈值。</w:t>
      </w:r>
    </w:p>
    <w:p>
      <w:pPr>
        <w:pStyle w:val="Heading2"/>
      </w:pPr>
      <w:r>
        <w:t>4.1 质量评分（满分 30 分）</w:t>
      </w:r>
    </w:p>
    <w:p>
      <w:r>
        <w:t>质量维度评估公司的盈利能力和财务健康度，包含五个子指标：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评分规则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ROE 水平</w:t>
            </w:r>
          </w:p>
        </w:tc>
        <w:tc>
          <w:tcPr>
            <w:tcW w:type="dxa" w:w="2160"/>
          </w:tcPr>
          <w:p>
            <w:r>
              <w:t>8 分</w:t>
            </w:r>
          </w:p>
        </w:tc>
        <w:tc>
          <w:tcPr>
            <w:tcW w:type="dxa" w:w="2160"/>
          </w:tcPr>
          <w:p>
            <w:r>
              <w:t>行业内排名：前 20%=8 分，前 50%=6 分，前 80%=3 分，后 20%=0 分</w:t>
            </w:r>
          </w:p>
        </w:tc>
        <w:tc>
          <w:tcPr>
            <w:tcW w:type="dxa" w:w="2160"/>
          </w:tcPr>
          <w:p>
            <w:r>
              <w:t>无行业数据时绝对阈值：&gt;15%=8 分，&gt;10%=6 分，&gt;5%=3 分，≤5%=0 分</w:t>
            </w:r>
          </w:p>
        </w:tc>
      </w:tr>
      <w:tr>
        <w:tc>
          <w:tcPr>
            <w:tcW w:type="dxa" w:w="2160"/>
          </w:tcPr>
          <w:p>
            <w:r>
              <w:t>ROE 趋势</w:t>
            </w:r>
          </w:p>
        </w:tc>
        <w:tc>
          <w:tcPr>
            <w:tcW w:type="dxa" w:w="2160"/>
          </w:tcPr>
          <w:p>
            <w:r>
              <w:t>2 分</w:t>
            </w:r>
          </w:p>
        </w:tc>
        <w:tc>
          <w:tcPr>
            <w:tcW w:type="dxa" w:w="2160"/>
          </w:tcPr>
          <w:p>
            <w:r>
              <w:t>ROE 同比变化：提升 &gt;2pp=2 分，稳定(-2~+2pp)=1 分，下降 &gt;2pp=0 分</w:t>
            </w:r>
          </w:p>
        </w:tc>
        <w:tc>
          <w:tcPr>
            <w:tcW w:type="dxa" w:w="2160"/>
          </w:tcPr>
          <w:p>
            <w:r>
              <w:t>需要前一期财务数据</w:t>
            </w:r>
          </w:p>
        </w:tc>
      </w:tr>
      <w:tr>
        <w:tc>
          <w:tcPr>
            <w:tcW w:type="dxa" w:w="2160"/>
          </w:tcPr>
          <w:p>
            <w:r>
              <w:t>经营现金流</w:t>
            </w:r>
          </w:p>
        </w:tc>
        <w:tc>
          <w:tcPr>
            <w:tcW w:type="dxa" w:w="2160"/>
          </w:tcPr>
          <w:p>
            <w:r>
              <w:t>8 分</w:t>
            </w:r>
          </w:p>
        </w:tc>
        <w:tc>
          <w:tcPr>
            <w:tcW w:type="dxa" w:w="2160"/>
          </w:tcPr>
          <w:p>
            <w:r>
              <w:t>正现金流=8 分，负现金流=0 分</w:t>
            </w:r>
          </w:p>
        </w:tc>
        <w:tc>
          <w:tcPr>
            <w:tcW w:type="dxa" w:w="2160"/>
          </w:tcPr>
          <w:p>
            <w:r>
              <w:t>极端重要的质量信号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6 分</w:t>
            </w:r>
          </w:p>
        </w:tc>
        <w:tc>
          <w:tcPr>
            <w:tcW w:type="dxa" w:w="2160"/>
          </w:tcPr>
          <w:p>
            <w:r>
              <w:t>行业内排名：前 20%=6 分，前 50%=4 分，前 80%=2 分，后 20%=0 分</w:t>
            </w:r>
          </w:p>
        </w:tc>
        <w:tc>
          <w:tcPr>
            <w:tcW w:type="dxa" w:w="2160"/>
          </w:tcPr>
          <w:p>
            <w:r>
              <w:t>无行业数据时：&gt;40%=6 分，&gt;25%=4 分，&gt;15%=2 分，≤15%=0 分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 分</w:t>
            </w:r>
          </w:p>
        </w:tc>
        <w:tc>
          <w:tcPr>
            <w:tcW w:type="dxa" w:w="2160"/>
          </w:tcPr>
          <w:p>
            <w:r>
              <w:t>行业内排名（越低越好）：前 20%（低负债）=6 分，前 50%=4 分，后 20%（高负债）=0 分</w:t>
            </w:r>
          </w:p>
        </w:tc>
        <w:tc>
          <w:tcPr>
            <w:tcW w:type="dxa" w:w="2160"/>
          </w:tcPr>
          <w:p>
            <w:r>
              <w:t>无行业数据时：&lt;40%=6 分，&lt;60%=4 分，&lt;75%=2 分，≥75%=0 分</w:t>
            </w:r>
          </w:p>
        </w:tc>
      </w:tr>
    </w:tbl>
    <w:p>
      <w:pPr>
        <w:pStyle w:val="Heading2"/>
      </w:pPr>
      <w:r>
        <w:t>4.2 估值评分（满分 20 分）</w:t>
      </w:r>
    </w:p>
    <w:p>
      <w:r>
        <w:t>估值维度评估当前股价相对于基本面是否合理。本维度是 PE 的唯一计分位置，消除重复计算。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评分规则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PE（市盈率）</w:t>
            </w:r>
          </w:p>
        </w:tc>
        <w:tc>
          <w:tcPr>
            <w:tcW w:type="dxa" w:w="2160"/>
          </w:tcPr>
          <w:p>
            <w:r>
              <w:t>8 分</w:t>
            </w:r>
          </w:p>
        </w:tc>
        <w:tc>
          <w:tcPr>
            <w:tcW w:type="dxa" w:w="2160"/>
          </w:tcPr>
          <w:p>
            <w:r>
              <w:t>行业内排名（越低越好）：前 20%=8 分，前 50%=6 分，前 80%=3 分，后 20%=0 分</w:t>
            </w:r>
          </w:p>
        </w:tc>
        <w:tc>
          <w:tcPr>
            <w:tcW w:type="dxa" w:w="2160"/>
          </w:tcPr>
          <w:p>
            <w:r>
              <w:t>无行业数据：≤15=8 分，≤30=6 分，≤50=3 分，&gt;50=0 分；PE 为负值直接 0 分</w:t>
            </w:r>
          </w:p>
        </w:tc>
      </w:tr>
      <w:tr>
        <w:tc>
          <w:tcPr>
            <w:tcW w:type="dxa" w:w="2160"/>
          </w:tcPr>
          <w:p>
            <w:r>
              <w:t>PB（市净率）</w:t>
            </w:r>
          </w:p>
        </w:tc>
        <w:tc>
          <w:tcPr>
            <w:tcW w:type="dxa" w:w="2160"/>
          </w:tcPr>
          <w:p>
            <w:r>
              <w:t>5 分</w:t>
            </w:r>
          </w:p>
        </w:tc>
        <w:tc>
          <w:tcPr>
            <w:tcW w:type="dxa" w:w="2160"/>
          </w:tcPr>
          <w:p>
            <w:r>
              <w:t>行业内排名：前 20%=5 分，前 50%=3 分，后 20%=0 分</w:t>
            </w:r>
          </w:p>
        </w:tc>
        <w:tc>
          <w:tcPr>
            <w:tcW w:type="dxa" w:w="2160"/>
          </w:tcPr>
          <w:p>
            <w:r>
              <w:t>无行业数据：≤2=5 分，≤5=3 分，≤10=1 分，&gt;10=0 分</w:t>
            </w:r>
          </w:p>
        </w:tc>
      </w:tr>
      <w:tr>
        <w:tc>
          <w:tcPr>
            <w:tcW w:type="dxa" w:w="2160"/>
          </w:tcPr>
          <w:p>
            <w:r>
              <w:t>股息率</w:t>
            </w:r>
          </w:p>
        </w:tc>
        <w:tc>
          <w:tcPr>
            <w:tcW w:type="dxa" w:w="2160"/>
          </w:tcPr>
          <w:p>
            <w:r>
              <w:t>5 分</w:t>
            </w:r>
          </w:p>
        </w:tc>
        <w:tc>
          <w:tcPr>
            <w:tcW w:type="dxa" w:w="2160"/>
          </w:tcPr>
          <w:p>
            <w:r>
              <w:t>行业内排名（越高越好）：前 20%（高股息）=5 分，前 50%=3 分</w:t>
            </w:r>
          </w:p>
        </w:tc>
        <w:tc>
          <w:tcPr>
            <w:tcW w:type="dxa" w:w="2160"/>
          </w:tcPr>
          <w:p>
            <w:r>
              <w:t>无行业数据：&gt;3%=5 分，&gt;1%=3 分，≤1%=0 分</w:t>
            </w:r>
          </w:p>
        </w:tc>
      </w:tr>
      <w:tr>
        <w:tc>
          <w:tcPr>
            <w:tcW w:type="dxa" w:w="2160"/>
          </w:tcPr>
          <w:p>
            <w:r>
              <w:t>PS（市销率）</w:t>
            </w:r>
          </w:p>
        </w:tc>
        <w:tc>
          <w:tcPr>
            <w:tcW w:type="dxa" w:w="2160"/>
          </w:tcPr>
          <w:p>
            <w:r>
              <w:t>2 分</w:t>
            </w:r>
          </w:p>
        </w:tc>
        <w:tc>
          <w:tcPr>
            <w:tcW w:type="dxa" w:w="2160"/>
          </w:tcPr>
          <w:p>
            <w:r>
              <w:t>PS = 市值 / 营收；≤2=2 分，≤5=1 分，&gt;5=0 分</w:t>
            </w:r>
          </w:p>
        </w:tc>
        <w:tc>
          <w:tcPr>
            <w:tcW w:type="dxa" w:w="2160"/>
          </w:tcPr>
          <w:p>
            <w:r>
              <w:t>需要市值和营收数据</w:t>
            </w:r>
          </w:p>
        </w:tc>
      </w:tr>
    </w:tbl>
    <w:p>
      <w:pPr>
        <w:pStyle w:val="Heading2"/>
      </w:pPr>
      <w:r>
        <w:t>4.3 成长评分（满分 20 分）</w:t>
      </w:r>
    </w:p>
    <w:p>
      <w:r>
        <w:t>成长维度评估公司收入和利润的增长动能：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评分规则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营收同比增长</w:t>
            </w:r>
          </w:p>
        </w:tc>
        <w:tc>
          <w:tcPr>
            <w:tcW w:type="dxa" w:w="2160"/>
          </w:tcPr>
          <w:p>
            <w:r>
              <w:t>8 分</w:t>
            </w:r>
          </w:p>
        </w:tc>
        <w:tc>
          <w:tcPr>
            <w:tcW w:type="dxa" w:w="2160"/>
          </w:tcPr>
          <w:p>
            <w:r>
              <w:t>&gt;20%=8 分（高速），&gt;10%=6 分（较快），&gt;0%=3 分（温和），≤0%=0 分（下滑）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净利润同比增长</w:t>
            </w:r>
          </w:p>
        </w:tc>
        <w:tc>
          <w:tcPr>
            <w:tcW w:type="dxa" w:w="2160"/>
          </w:tcPr>
          <w:p>
            <w:r>
              <w:t>8 分</w:t>
            </w:r>
          </w:p>
        </w:tc>
        <w:tc>
          <w:tcPr>
            <w:tcW w:type="dxa" w:w="2160"/>
          </w:tcPr>
          <w:p>
            <w:r>
              <w:t>&gt;20%=8 分（高速），&gt;10%=6 分（较快），&gt;0%=3 分（温和），≤0%=0 分（下滑）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双增长加成</w:t>
            </w:r>
          </w:p>
        </w:tc>
        <w:tc>
          <w:tcPr>
            <w:tcW w:type="dxa" w:w="2160"/>
          </w:tcPr>
          <w:p>
            <w:r>
              <w:t>4 分</w:t>
            </w:r>
          </w:p>
        </w:tc>
        <w:tc>
          <w:tcPr>
            <w:tcW w:type="dxa" w:w="2160"/>
          </w:tcPr>
          <w:p>
            <w:r>
              <w:t>营收和利润同时正增长=4 分；仅一项正增长=2 分；均不增长=0 分</w:t>
            </w:r>
          </w:p>
        </w:tc>
        <w:tc>
          <w:tcPr>
            <w:tcW w:type="dxa" w:w="2160"/>
          </w:tcPr>
          <w:p>
            <w:r>
              <w:t>复合增长信号</w:t>
            </w:r>
          </w:p>
        </w:tc>
      </w:tr>
    </w:tbl>
    <w:p>
      <w:pPr>
        <w:pStyle w:val="Heading2"/>
      </w:pPr>
      <w:r>
        <w:t>4.4 趋势评分（满分 20 分）</w:t>
      </w:r>
    </w:p>
    <w:p>
      <w:r>
        <w:t>趋势维度基于技术指标评估价格走势的健康度：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评分规则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收盘价 vs MA60</w:t>
            </w:r>
          </w:p>
        </w:tc>
        <w:tc>
          <w:tcPr>
            <w:tcW w:type="dxa" w:w="2160"/>
          </w:tcPr>
          <w:p>
            <w:r>
              <w:t>6 分</w:t>
            </w:r>
          </w:p>
        </w:tc>
        <w:tc>
          <w:tcPr>
            <w:tcW w:type="dxa" w:w="2160"/>
          </w:tcPr>
          <w:p>
            <w:r>
              <w:t>收盘价 &gt; MA60 = 6 分（多头排列）；否则 0 分</w:t>
            </w:r>
          </w:p>
        </w:tc>
        <w:tc>
          <w:tcPr>
            <w:tcW w:type="dxa" w:w="2160"/>
          </w:tcPr>
          <w:p>
            <w:r>
              <w:t>中期趋势判断</w:t>
            </w:r>
          </w:p>
        </w:tc>
      </w:tr>
      <w:tr>
        <w:tc>
          <w:tcPr>
            <w:tcW w:type="dxa" w:w="2160"/>
          </w:tcPr>
          <w:p>
            <w:r>
              <w:t>MA 方向</w:t>
            </w:r>
          </w:p>
        </w:tc>
        <w:tc>
          <w:tcPr>
            <w:tcW w:type="dxa" w:w="2160"/>
          </w:tcPr>
          <w:p>
            <w:r>
              <w:t>6 分</w:t>
            </w:r>
          </w:p>
        </w:tc>
        <w:tc>
          <w:tcPr>
            <w:tcW w:type="dxa" w:w="2160"/>
          </w:tcPr>
          <w:p>
            <w:r>
              <w:t>MA60 &gt; MA120 = 6 分（上行趋势）；否则 0 分；无 MA120 时用 MA20 &gt; MA60 替代=4 分</w:t>
            </w:r>
          </w:p>
        </w:tc>
        <w:tc>
          <w:tcPr>
            <w:tcW w:type="dxa" w:w="2160"/>
          </w:tcPr>
          <w:p>
            <w:r>
              <w:t>趋势方向判断</w:t>
            </w:r>
          </w:p>
        </w:tc>
      </w:tr>
      <w:tr>
        <w:tc>
          <w:tcPr>
            <w:tcW w:type="dxa" w:w="2160"/>
          </w:tcPr>
          <w:p>
            <w:r>
              <w:t>MACD 排列</w:t>
            </w:r>
          </w:p>
        </w:tc>
        <w:tc>
          <w:tcPr>
            <w:tcW w:type="dxa" w:w="2160"/>
          </w:tcPr>
          <w:p>
            <w:r>
              <w:t>4 分</w:t>
            </w:r>
          </w:p>
        </w:tc>
        <w:tc>
          <w:tcPr>
            <w:tcW w:type="dxa" w:w="2160"/>
          </w:tcPr>
          <w:p>
            <w:r>
              <w:t>DIF &gt; DEA = 4 分（多头）；MACD 柱 &gt;0 但 DIF ≤ DEA = 2 分（偏多）；否则 0 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成交量</w:t>
            </w:r>
          </w:p>
        </w:tc>
        <w:tc>
          <w:tcPr>
            <w:tcW w:type="dxa" w:w="2160"/>
          </w:tcPr>
          <w:p>
            <w:r>
              <w:t>4 分</w:t>
            </w:r>
          </w:p>
        </w:tc>
        <w:tc>
          <w:tcPr>
            <w:tcW w:type="dxa" w:w="2160"/>
          </w:tcPr>
          <w:p>
            <w:r>
              <w:t>量比 1.1-2.0 = 4 分（温和放量）；&gt;2.0 = 2 分（异常放量）；&lt;1.0 = 0 分（缩量）</w:t>
            </w:r>
          </w:p>
        </w:tc>
        <w:tc>
          <w:tcPr>
            <w:tcW w:type="dxa" w:w="2160"/>
          </w:tcPr>
          <w:p>
            <w:r>
              <w:t>量比=Vol_MA5/Vol_MA20</w:t>
            </w:r>
          </w:p>
        </w:tc>
      </w:tr>
    </w:tbl>
    <w:p>
      <w:pPr>
        <w:pStyle w:val="Heading2"/>
      </w:pPr>
      <w:r>
        <w:t>4.5 风险评分（满分 10 分，分数越高风险越低）</w:t>
      </w:r>
    </w:p>
    <w:p>
      <w:r>
        <w:t>风险维度评估下行风险和不确定性：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评分规则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业绩稳定性</w:t>
            </w:r>
          </w:p>
        </w:tc>
        <w:tc>
          <w:tcPr>
            <w:tcW w:type="dxa" w:w="2160"/>
          </w:tcPr>
          <w:p>
            <w:r>
              <w:t>3 分</w:t>
            </w:r>
          </w:p>
        </w:tc>
        <w:tc>
          <w:tcPr>
            <w:tcW w:type="dxa" w:w="2160"/>
          </w:tcPr>
          <w:p>
            <w:r>
              <w:t>净利润同比 &gt; -10% = 3 分（业绩稳定）；否则 0 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负债与现金流</w:t>
            </w:r>
          </w:p>
        </w:tc>
        <w:tc>
          <w:tcPr>
            <w:tcW w:type="dxa" w:w="2160"/>
          </w:tcPr>
          <w:p>
            <w:r>
              <w:t>3 分</w:t>
            </w:r>
          </w:p>
        </w:tc>
        <w:tc>
          <w:tcPr>
            <w:tcW w:type="dxa" w:w="2160"/>
          </w:tcPr>
          <w:p>
            <w:r>
              <w:t>负债率 &lt; 70% 且经营现金流 &gt; 0 = 3 分；负债率 &lt; 80% = 1 分；否则 0 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波动率</w:t>
            </w:r>
          </w:p>
        </w:tc>
        <w:tc>
          <w:tcPr>
            <w:tcW w:type="dxa" w:w="2160"/>
          </w:tcPr>
          <w:p>
            <w:r>
              <w:t>4 分</w:t>
            </w:r>
          </w:p>
        </w:tc>
        <w:tc>
          <w:tcPr>
            <w:tcW w:type="dxa" w:w="2160"/>
          </w:tcPr>
          <w:p>
            <w:r>
              <w:t>布林带宽度 &lt; 5% = 4 分（低波动）；5-10% = 3 分；10-15% = 1 分；&gt;15% = 0 分</w:t>
            </w:r>
          </w:p>
        </w:tc>
        <w:tc>
          <w:tcPr>
            <w:tcW w:type="dxa" w:w="2160"/>
          </w:tcPr>
          <w:p>
            <w:r>
              <w:t>带宽 = (上轨-下轨)/中轨×100%</w:t>
            </w:r>
          </w:p>
        </w:tc>
      </w:tr>
    </w:tbl>
    <w:p>
      <w:pPr>
        <w:pStyle w:val="Heading2"/>
      </w:pPr>
      <w:r>
        <w:t>4.6 综合评级</w:t>
      </w:r>
    </w:p>
    <w:p>
      <w:r>
        <w:t>五维总分汇总后，按以下阈值映射为五级研究评级：</w:t>
        <w:br/>
        <w:t xml:space="preserve">    ≥ 85 分 → BUY（高关注）：质量、估值、趋势均处于高位，建议重点研究</w:t>
        <w:br/>
        <w:t xml:space="preserve">    75-84 分 → ADD（增强关注）：基本面与趋势继续改善，建议增强关注</w:t>
        <w:br/>
        <w:t xml:space="preserve">    65-74 分 → WATCH（观察）：综合评分处于中性区间，密切关注关键指标变化</w:t>
        <w:br/>
        <w:t xml:space="preserve">    50-64 分 → REDUCE（风险升高）：估值或趋势出现弱化信号，风险上升</w:t>
        <w:br/>
        <w:t xml:space="preserve">    &lt; 50 分 → SELL（回避观察）：基本面或风险指标显著恶化，建议回避</w:t>
        <w:br/>
        <w:t>研究评级是量化模型的客观输出，不构成交易指令。</w:t>
      </w:r>
    </w:p>
    <w:p>
      <w:pPr>
        <w:pStyle w:val="Heading2"/>
      </w:pPr>
      <w:r>
        <w:t>4.7 行业内百分位排名</w:t>
      </w:r>
    </w:p>
    <w:p>
      <w:r>
        <w:t>系统在每个评分日期对所有活跃股票计算行业统计。对于每个行业，计算 PE、PB、ROE、毛利率、资产负债率、股息率、年化波动率等指标的 20/50/80 百分位值。百分位使用标准线性插值公式：</w:t>
        <w:br/>
        <w:t xml:space="preserve">    idx = (n - 1) × pct / 100</w:t>
        <w:br/>
        <w:t xml:space="preserve">    percentile = sorted_data[floor(idx)] × (1 - frac) + sorted_data[ceil(idx)] × frac</w:t>
        <w:br/>
        <w:t>行业内排名方法相比全市场统一阈值的优势在于：不同行业的估值中枢和盈利特征差异极大，银行天然低 PE 高杠杆，科技天然高 PE 轻资产，行业内排名能更公平地比较同行业竞争者。行业样本不足 2 只时，自动回退到绝对阈值。</w:t>
      </w:r>
    </w:p>
    <w:p>
      <w:pPr>
        <w:pStyle w:val="Heading2"/>
      </w:pPr>
      <w:r>
        <w:t>4.8 前视偏差防护 (Look-Ahead Bias Prevention)</w:t>
      </w:r>
    </w:p>
    <w:p>
      <w:r>
        <w:t>系统在所有评分环节严格执行前视偏差防护：</w:t>
        <w:br/>
        <w:t xml:space="preserve">    • 价格数据：仅使用 score_date 当天或之前的最新行情（DailyPrice.trade_date ≤ score_date）</w:t>
        <w:br/>
        <w:t xml:space="preserve">    • 财务数据：仅使用报告期 ≤ score_date 的最新财务报告（FinancialMetric.report_period ≤ score_date）</w:t>
        <w:br/>
        <w:t xml:space="preserve">      考虑了财务报告的固有滞后性——Q1 报告 4 月底出，Q2 报告 8 月底出，Q3 报告 10 月底出，年报次年 4 月底出</w:t>
        <w:br/>
        <w:t xml:space="preserve">    • 技术指标：仅使用 trade_date ≤ score_date 的最新技术指标</w:t>
        <w:br/>
        <w:t xml:space="preserve">    • 评级映射：仅使用 score_date 时的可用信息决定评级</w:t>
        <w:br/>
        <w:t>回测中的动态评分函数 (_get_score_at_date) 进一步确保：在回测期间任意日期评分时，只使用该日期当天或之前的数据。</w:t>
      </w:r>
    </w:p>
    <w:p>
      <w:r>
        <w:br w:type="page"/>
      </w:r>
    </w:p>
    <w:p>
      <w:pPr>
        <w:pStyle w:val="Heading1"/>
      </w:pPr>
      <w:r>
        <w:t>5. 交易信号生成</w:t>
      </w:r>
    </w:p>
    <w:p>
      <w:pPr>
        <w:pStyle w:val="Heading2"/>
      </w:pPr>
      <w:r>
        <w:t>5.1 信号类型决策树</w:t>
      </w:r>
    </w:p>
    <w:p>
      <w:r>
        <w:t>信号生成基于评分结果，采用多条件组合决策：</w:t>
      </w:r>
    </w:p>
    <w:p>
      <w:r>
        <w:t>BUY 信号：总分 ≥ 85 且 质量 ≥ 24 且 估值 ≥ 14 且 趋势 ≥ 14</w:t>
        <w:br/>
        <w:t xml:space="preserve">    → 信号强度 = min(5, (总分-80)/4 + 3)，对应强度 3-5</w:t>
        <w:br/>
        <w:t xml:space="preserve">    → 逻辑："基本面表现较强，估值与趋势匹配，进入高关注研究名单"</w:t>
      </w:r>
    </w:p>
    <w:p>
      <w:r>
        <w:t>ADD 信号：总分 ≥ 75 且 趋势 ≥ 12 且 风险 ≥ 7</w:t>
        <w:br/>
        <w:t xml:space="preserve">    → 信号强度 = min(4, (总分-70)/5 + 2)，对应强度 2-4</w:t>
        <w:br/>
        <w:t xml:space="preserve">    → 逻辑："基本面与趋势继续改善，建议增强关注并跟踪后续数据"</w:t>
      </w:r>
    </w:p>
    <w:p>
      <w:r>
        <w:t>WATCH 信号：总分 ≥ 65</w:t>
        <w:br/>
        <w:t xml:space="preserve">    → 信号强度 = min(3, (总分-60)/5 + 1)，对应强度 1-3</w:t>
        <w:br/>
        <w:t xml:space="preserve">    → 逻辑：动态分析各维度短板，生成针对性观察理由</w:t>
      </w:r>
    </w:p>
    <w:p>
      <w:r>
        <w:t>REDUCE 信号：总分 ≥ 50</w:t>
        <w:br/>
        <w:t xml:space="preserve">    → 信号强度 = 2</w:t>
        <w:br/>
        <w:t xml:space="preserve">    → 逻辑：分析估值、趋势、风险的弱化程度</w:t>
      </w:r>
    </w:p>
    <w:p>
      <w:r>
        <w:t>SELL 信号：总分 &lt; 50</w:t>
        <w:br/>
        <w:t xml:space="preserve">    → 信号强度 = 1</w:t>
        <w:br/>
        <w:t xml:space="preserve">    → 逻辑："基本面或风险指标明显恶化，建议回避观察"</w:t>
      </w:r>
    </w:p>
    <w:p>
      <w:pPr>
        <w:pStyle w:val="Heading2"/>
      </w:pPr>
      <w:r>
        <w:t>5.2 仓位计算</w:t>
      </w:r>
    </w:p>
    <w:p>
      <w:r>
        <w:t>建议研究仓位基于信号类型和强度，并受行业集中度和总仓位约束：</w:t>
        <w:br/>
        <w:t xml:space="preserve">    基础仓位映射：BUY(5→8%, 4→6%, 3→5%) / ADD(4→5%, 3→4%, 2→3%)</w:t>
        <w:br/>
        <w:t xml:space="preserve">    WATCH/REDUCE/SELL → 建议仓位 0%</w:t>
        <w:br/>
        <w:t xml:space="preserve">    行业集中度约束：如果同行业已有仓位 &gt; 25%，基础仓位减半（最低 1%）</w:t>
        <w:br/>
        <w:t xml:space="preserve">    总仓位约束：如果总仓位 &gt; 85%，基础仓位减半（最低 1%）</w:t>
      </w:r>
    </w:p>
    <w:p>
      <w:pPr>
        <w:pStyle w:val="Heading2"/>
      </w:pPr>
      <w:r>
        <w:t>5.3 参考价格计算</w:t>
      </w:r>
    </w:p>
    <w:p>
      <w:r>
        <w:t>入场价、目标价、止损价基于最新收盘价和布林带宽度计算：</w:t>
        <w:br/>
        <w:t xml:space="preserve">    波动率因子 = clamp(布林带宽度, 5%, 25%)</w:t>
        <w:br/>
        <w:t xml:space="preserve">    BUY/ADD：入场价 = 收盘价，目标价 = 入场价 × (1 + min(max(1.10, 1+2×波动率因子), 1.30))，止损价 = 入场价 × (1 - clamp(波动率因子, 0.88, 0.95))</w:t>
        <w:br/>
        <w:t xml:space="preserve">    REDUCE：止损价 = 入场价 × (1 - clamp(波动率因子×0.5, 0.90, 0.95))</w:t>
        <w:br/>
        <w:t xml:space="preserve">    WATCH/SELL：不计算参考价格</w:t>
      </w:r>
    </w:p>
    <w:p>
      <w:pPr>
        <w:pStyle w:val="Heading2"/>
      </w:pPr>
      <w:r>
        <w:t>5.4 风控信号标记</w:t>
      </w:r>
    </w:p>
    <w:p>
      <w:r>
        <w:t>信号生成时自动标记风险项：风险评分 &lt; 5、估值评分 &lt; 10、趋势评分 &lt; 10。这些风险标记在前端展示为橙色/红色风险标签，帮助用户快速识别潜在问题。</w:t>
      </w:r>
    </w:p>
    <w:p>
      <w:r>
        <w:br w:type="page"/>
      </w:r>
    </w:p>
    <w:p>
      <w:pPr>
        <w:pStyle w:val="Heading1"/>
      </w:pPr>
      <w:r>
        <w:t>6. 策略回测系统</w:t>
      </w:r>
    </w:p>
    <w:p>
      <w:pPr>
        <w:pStyle w:val="Heading2"/>
      </w:pPr>
      <w:r>
        <w:t>6.1 回测引擎架构</w:t>
      </w:r>
    </w:p>
    <w:p>
      <w:r>
        <w:t>回测系统包含两个模式：(1) 规则化策略回测 (run_backtest) 和 (2) 自定义持仓模拟 (simulate_portfolio)。两者均使用数据库中的真实历史价格运行，而非随机模拟。</w:t>
      </w:r>
    </w:p>
    <w:p>
      <w:pPr>
        <w:pStyle w:val="Heading2"/>
      </w:pPr>
      <w:r>
        <w:t>6.2 规则化策略回测 (run_backtest)</w:t>
      </w:r>
    </w:p>
    <w:p>
      <w:r>
        <w:t>回测流程：</w:t>
      </w:r>
    </w:p>
    <w:p>
      <w:pPr>
        <w:pStyle w:val="ListBullet"/>
      </w:pPr>
      <w:r>
        <w:t>① 筛选股票：选择指定市场中回测期间有行情数据的所有股票（含已退市，消除生存偏差）</w:t>
      </w:r>
    </w:p>
    <w:p>
      <w:pPr>
        <w:pStyle w:val="ListBullet"/>
      </w:pPr>
      <w:r>
        <w:t>② 自动调整开始日期：如果最早 MA60 日期晚于用户指定开始日期，自动后延以确保技术指标可用</w:t>
      </w:r>
    </w:p>
    <w:p>
      <w:pPr>
        <w:pStyle w:val="ListBullet"/>
      </w:pPr>
      <w:r>
        <w:t>③ 日期级步进：按交易日顺序逐日计算组合市值和基准市值</w:t>
      </w:r>
    </w:p>
    <w:p>
      <w:pPr>
        <w:pStyle w:val="ListBullet"/>
      </w:pPr>
      <w:r>
        <w:t>④ 定期调仓：默认月度调仓（21 个交易日），可选季度调仓（63 个交易日）</w:t>
      </w:r>
    </w:p>
    <w:p>
      <w:pPr>
        <w:pStyle w:val="ListBullet"/>
      </w:pPr>
      <w:r>
        <w:t>⑤ 评分选股：在每个调仓日，动态计算所有候选股票的评分（使用回测时点的数据，严格消除前视偏差），按评分排序，选择评分 ≥ 65 的股票，最多持仓 20 只</w:t>
      </w:r>
    </w:p>
    <w:p>
      <w:pPr>
        <w:pStyle w:val="ListBullet"/>
      </w:pPr>
      <w:r>
        <w:t>⑥ 交易执行：卖出不在目标列表的持仓，买入目标股票，每次交易按整手（100 股）执行</w:t>
      </w:r>
    </w:p>
    <w:p>
      <w:pPr>
        <w:pStyle w:val="ListBullet"/>
      </w:pPr>
      <w:r>
        <w:t>⑦ 涨跌停约束：涨停时无法买入，跌停时无法卖出（A 股主板 ±10%，创业板/科创板 ±20%）</w:t>
      </w:r>
    </w:p>
    <w:p>
      <w:pPr>
        <w:pStyle w:val="ListBullet"/>
      </w:pPr>
      <w:r>
        <w:t>⑧ 风险分散：每只股票等权配置</w:t>
      </w:r>
    </w:p>
    <w:p>
      <w:pPr>
        <w:pStyle w:val="Heading2"/>
      </w:pPr>
      <w:r>
        <w:t>6.3 交易成本模型</w:t>
      </w:r>
    </w:p>
    <w:p>
      <w:pPr>
        <w:pStyle w:val="ListBullet"/>
      </w:pPr>
      <w:r>
        <w:t>佣金费率：0.025%（买入和卖出均收取）</w:t>
      </w:r>
    </w:p>
    <w:p>
      <w:pPr>
        <w:pStyle w:val="ListBullet"/>
      </w:pPr>
      <w:r>
        <w:t>印花税：0.05%（仅卖出时收取，A 股标准）</w:t>
      </w:r>
    </w:p>
    <w:p>
      <w:pPr>
        <w:pStyle w:val="ListBullet"/>
      </w:pPr>
      <w:r>
        <w:t>过户费：0.001%（沪市收取）</w:t>
      </w:r>
    </w:p>
    <w:p>
      <w:pPr>
        <w:pStyle w:val="ListBullet"/>
      </w:pPr>
      <w:r>
        <w:t>最低佣金：5 元/笔</w:t>
      </w:r>
    </w:p>
    <w:p>
      <w:pPr>
        <w:pStyle w:val="ListBullet"/>
      </w:pPr>
      <w:r>
        <w:t>滑点：0.1%（买入加价 +0.1%，卖出减价 -0.1%）</w:t>
      </w:r>
    </w:p>
    <w:p>
      <w:pPr>
        <w:pStyle w:val="Heading2"/>
      </w:pPr>
      <w:r>
        <w:t>6.4 基准构建</w:t>
      </w:r>
    </w:p>
    <w:p>
      <w:r>
        <w:t>基准采用市值加权组合：以回测首日各股市值作为权重，构建买入并持有组合。无市值数据的股票赋予权重 1.0。后续每日基准市值 = Σ(初始投资 × 权重 × 当日价格 / 首日价格)。此方法近似于等权买入全市场股票，作为策略表现的比较基准。</w:t>
      </w:r>
    </w:p>
    <w:p>
      <w:pPr>
        <w:pStyle w:val="Heading2"/>
      </w:pPr>
      <w:r>
        <w:t>6.5 绩效指标</w:t>
      </w:r>
    </w:p>
    <w:p>
      <w:pPr>
        <w:pStyle w:val="ListBullet"/>
      </w:pPr>
      <w:r>
        <w:t>总收益率 (Total Return): (最终权益 - 初始资金) / 初始资金 × 100%</w:t>
      </w:r>
    </w:p>
    <w:p>
      <w:pPr>
        <w:pStyle w:val="ListBullet"/>
      </w:pPr>
      <w:r>
        <w:t>年化收益率 (Annual Return): (1 + 总收益率)^(1/年数) - 1</w:t>
      </w:r>
    </w:p>
    <w:p>
      <w:pPr>
        <w:pStyle w:val="ListBullet"/>
      </w:pPr>
      <w:r>
        <w:t>基准收益率 (Benchmark Return): 市值加权基准的总收益率</w:t>
      </w:r>
    </w:p>
    <w:p>
      <w:pPr>
        <w:pStyle w:val="ListBullet"/>
      </w:pPr>
      <w:r>
        <w:t>超额收益 (Excess Return): 策略收益 - 基准收益</w:t>
      </w:r>
    </w:p>
    <w:p>
      <w:pPr>
        <w:pStyle w:val="ListBullet"/>
      </w:pPr>
      <w:r>
        <w:t>最大回撤 (Max Drawdown): max((峰值 - 当前值) / 峰值)，从权益曲线逐点计算</w:t>
      </w:r>
    </w:p>
    <w:p>
      <w:pPr>
        <w:pStyle w:val="ListBullet"/>
      </w:pPr>
      <w:r>
        <w:t>夏普比率 (Sharpe Ratio): (日均收益率 × 252) / (日收益率标准差 × √252)</w:t>
      </w:r>
    </w:p>
    <w:p>
      <w:pPr>
        <w:pStyle w:val="ListBullet"/>
      </w:pPr>
      <w:r>
        <w:t>胜率 (Win Rate): 盈利交易笔数 / 总卖出交易笔数 × 100%</w:t>
      </w:r>
    </w:p>
    <w:p>
      <w:pPr>
        <w:pStyle w:val="Heading2"/>
      </w:pPr>
      <w:r>
        <w:t>6.6 自定义持仓模拟 (simulate_portfolio)</w:t>
      </w:r>
    </w:p>
    <w:p>
      <w:r>
        <w:t>允许用户自定义买入日期、股票代码和股数，系统在历史数据中查找实际买入价格，跟踪持仓至今（或指定卖出日期），计算每笔持仓的盈亏、持仓期间权益曲线和月度收益。支持同时模拟多只股票，自动处理卖出所得现金再投资。</w:t>
      </w:r>
    </w:p>
    <w:p>
      <w:r>
        <w:br w:type="page"/>
      </w:r>
    </w:p>
    <w:p>
      <w:pPr>
        <w:pStyle w:val="Heading1"/>
      </w:pPr>
      <w:r>
        <w:t>7. 仪表盘聚合算法</w:t>
      </w:r>
    </w:p>
    <w:p>
      <w:pPr>
        <w:pStyle w:val="Heading2"/>
      </w:pPr>
      <w:r>
        <w:t>7.1 策略总结</w:t>
      </w:r>
    </w:p>
    <w:p>
      <w:r>
        <w:t>仪表盘每日聚合所有交易信号，生成市场状态判断和策略总结：</w:t>
        <w:br/>
        <w:t xml:space="preserve">    计算 BUY+ADD 信号总数 vs REDUCE+SELL 信号总数</w:t>
        <w:br/>
        <w:t xml:space="preserve">    buy_add &gt; reduce_sell × 2 → 偏多 (Bullish)，建议仓位 70-80%</w:t>
        <w:br/>
        <w:t xml:space="preserve">    buy_add &gt; reduce_sell → 中性偏多 (Mildly Bullish)，建议仓位 50-70%</w:t>
        <w:br/>
        <w:t xml:space="preserve">    reduce_sell &gt; buy_add × 2 → 偏空 (Bearish)，建议仓位 20-30%</w:t>
        <w:br/>
        <w:t xml:space="preserve">    reduce_sell &gt; buy_add → 中性偏谨慎 (Mildly Bearish)，建议仓位 30-45%</w:t>
        <w:br/>
        <w:t xml:space="preserve">    其他 → 中性 (Neutral)，建议仓位 40-60%</w:t>
      </w:r>
    </w:p>
    <w:p>
      <w:pPr>
        <w:pStyle w:val="Heading2"/>
      </w:pPr>
      <w:r>
        <w:t>7.2 股票池分类</w:t>
      </w:r>
    </w:p>
    <w:p>
      <w:r>
        <w:t>基于评分维度的绝对分数阈值将股票自动分配到四个研究池：</w:t>
      </w:r>
    </w:p>
    <w:p>
      <w:pPr>
        <w:pStyle w:val="ListBullet"/>
      </w:pPr>
      <w:r>
        <w:t>优质基本面池：质量评分 ≥ 22 → 盈利能力突出、财务健康的股票</w:t>
      </w:r>
    </w:p>
    <w:p>
      <w:pPr>
        <w:pStyle w:val="ListBullet"/>
      </w:pPr>
      <w:r>
        <w:t>低估值池：估值评分 ≥ 15 → 当前估值具有吸引力的股票</w:t>
      </w:r>
    </w:p>
    <w:p>
      <w:pPr>
        <w:pStyle w:val="ListBullet"/>
      </w:pPr>
      <w:r>
        <w:t>趋势确认池：趋势评分 ≥ 15 → 技术面走势健康的股票</w:t>
      </w:r>
    </w:p>
    <w:p>
      <w:pPr>
        <w:pStyle w:val="ListBullet"/>
      </w:pPr>
      <w:r>
        <w:t>风险预警池：风险评分 &lt; 5 → 高风险、需要谨慎关注的股票</w:t>
      </w:r>
    </w:p>
    <w:p>
      <w:pPr>
        <w:pStyle w:val="Heading2"/>
      </w:pPr>
      <w:r>
        <w:t>7.3 Top 信号筛选</w:t>
      </w:r>
    </w:p>
    <w:p>
      <w:r>
        <w:t>仪表盘展示今日 Top 10 高关注信号（BUY/ADD），按信号强度降序排列。每条信号关联最新收盘价和日涨跌幅，帮助用户快速识别今日值得研究的标的。</w:t>
      </w:r>
    </w:p>
    <w:p>
      <w:pPr>
        <w:pStyle w:val="Heading2"/>
      </w:pPr>
      <w:r>
        <w:t>7.4 风险告警</w:t>
      </w:r>
    </w:p>
    <w:p>
      <w:r>
        <w:t>筛选今日 REDUCE/SELL 信号，取 Top 10 作为风险告警。每条告警关联风险评分、估值评分等维度信息，标记告警级别（SELL → 高，REDUCE → 中）。</w:t>
      </w:r>
    </w:p>
    <w:p>
      <w:r>
        <w:br w:type="page"/>
      </w:r>
    </w:p>
    <w:p>
      <w:pPr>
        <w:pStyle w:val="Heading1"/>
      </w:pPr>
      <w:r>
        <w:t>8. 报告生成引擎</w:t>
      </w:r>
    </w:p>
    <w:p>
      <w:pPr>
        <w:pStyle w:val="Heading2"/>
      </w:pPr>
      <w:r>
        <w:t>8.1 每日策略报告</w:t>
      </w:r>
    </w:p>
    <w:p>
      <w:r>
        <w:t>generate_daily_report() 函数从数据库获取当日所有评分和信号，聚合生成 8000+ 字专业级分析报告。报告结构包括：市场概览 → 信号统计 → 核心策略总结 → 高关注个股清单 → 行业分布热力 → 风险提示。支持三种投资风格：稳健型(steady)、进取型(aggressive)、保守型(conservative)，不同风格使用不同的评分权重和选股标准。</w:t>
      </w:r>
    </w:p>
    <w:p>
      <w:pPr>
        <w:pStyle w:val="Heading2"/>
      </w:pPr>
      <w:r>
        <w:t>8.2 个股深度报告</w:t>
      </w:r>
    </w:p>
    <w:p>
      <w:r>
        <w:t>generate_stock_report() 为单只股票生成全面分析报告，包含：公司概览、行业地位、五维评分拆解（每项评分及理由）、技术面分析、风险因素、券商研报引用。报告内容来源于数据库中的真实评分和信号记录。</w:t>
      </w:r>
    </w:p>
    <w:p>
      <w:pPr>
        <w:pStyle w:val="Heading2"/>
      </w:pPr>
      <w:r>
        <w:t>8.3 风格化策略报告</w:t>
      </w:r>
    </w:p>
    <w:p>
      <w:r>
        <w:t>generate_style_report() 按投资风格生成专属策略报告，三种风格的选股逻辑：</w:t>
        <w:br/>
        <w:t xml:space="preserve">    • 稳健型：偏好高质量(&gt;24)、低波动(带宽&lt;10%)、高股息(&gt;2%）</w:t>
        <w:br/>
        <w:t xml:space="preserve">    • 进取型：偏好高成长(&gt;15)、强趋势(&gt;15)、合理估值</w:t>
        <w:br/>
        <w:t xml:space="preserve">    • 保守型：偏好低估值(&lt;15 PE)、低负债(&lt;50%)、正现金流</w:t>
      </w:r>
    </w:p>
    <w:p>
      <w:pPr>
        <w:pStyle w:val="Heading2"/>
      </w:pPr>
      <w:r>
        <w:t>8.4 PDF 生成</w:t>
      </w:r>
    </w:p>
    <w:p>
      <w:r>
        <w:t>pdf_service.py 使用 xhtml2pdf 库将 Markdown 报告转换为 PDF，支持中文字体嵌入、分页控制、页眉页脚、水印标注（"研究辅助系统"）。PDF 下载接口受用户配额限制（默认每日 30 次）。</w:t>
      </w:r>
    </w:p>
    <w:p>
      <w:r>
        <w:br w:type="page"/>
      </w:r>
    </w:p>
    <w:p>
      <w:pPr>
        <w:pStyle w:val="Heading1"/>
      </w:pPr>
      <w:r>
        <w:t>9. 算法参数与阈值汇总</w:t>
      </w:r>
    </w:p>
    <w:p>
      <w:r>
        <w:t>以下汇总系统中所有可调参数和阈值：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评分总分范围</w:t>
            </w:r>
          </w:p>
        </w:tc>
        <w:tc>
          <w:tcPr>
            <w:tcW w:type="dxa" w:w="4320"/>
          </w:tcPr>
          <w:p>
            <w:r>
              <w:t>0 - 100</w:t>
            </w:r>
          </w:p>
        </w:tc>
      </w:tr>
      <w:tr>
        <w:tc>
          <w:tcPr>
            <w:tcW w:type="dxa" w:w="4320"/>
          </w:tcPr>
          <w:p>
            <w:r>
              <w:t>质量权重 / 满分</w:t>
            </w:r>
          </w:p>
        </w:tc>
        <w:tc>
          <w:tcPr>
            <w:tcW w:type="dxa" w:w="4320"/>
          </w:tcPr>
          <w:p>
            <w:r>
              <w:t>30% / 30 分</w:t>
            </w:r>
          </w:p>
        </w:tc>
      </w:tr>
      <w:tr>
        <w:tc>
          <w:tcPr>
            <w:tcW w:type="dxa" w:w="4320"/>
          </w:tcPr>
          <w:p>
            <w:r>
              <w:t>估值权重 / 满分</w:t>
            </w:r>
          </w:p>
        </w:tc>
        <w:tc>
          <w:tcPr>
            <w:tcW w:type="dxa" w:w="4320"/>
          </w:tcPr>
          <w:p>
            <w:r>
              <w:t>20% / 20 分</w:t>
            </w:r>
          </w:p>
        </w:tc>
      </w:tr>
      <w:tr>
        <w:tc>
          <w:tcPr>
            <w:tcW w:type="dxa" w:w="4320"/>
          </w:tcPr>
          <w:p>
            <w:r>
              <w:t>成长权重 / 满分</w:t>
            </w:r>
          </w:p>
        </w:tc>
        <w:tc>
          <w:tcPr>
            <w:tcW w:type="dxa" w:w="4320"/>
          </w:tcPr>
          <w:p>
            <w:r>
              <w:t>20% / 20 分</w:t>
            </w:r>
          </w:p>
        </w:tc>
      </w:tr>
      <w:tr>
        <w:tc>
          <w:tcPr>
            <w:tcW w:type="dxa" w:w="4320"/>
          </w:tcPr>
          <w:p>
            <w:r>
              <w:t>趋势权重 / 满分</w:t>
            </w:r>
          </w:p>
        </w:tc>
        <w:tc>
          <w:tcPr>
            <w:tcW w:type="dxa" w:w="4320"/>
          </w:tcPr>
          <w:p>
            <w:r>
              <w:t>20% / 20 分</w:t>
            </w:r>
          </w:p>
        </w:tc>
      </w:tr>
      <w:tr>
        <w:tc>
          <w:tcPr>
            <w:tcW w:type="dxa" w:w="4320"/>
          </w:tcPr>
          <w:p>
            <w:r>
              <w:t>风险权重 / 满分</w:t>
            </w:r>
          </w:p>
        </w:tc>
        <w:tc>
          <w:tcPr>
            <w:tcW w:type="dxa" w:w="4320"/>
          </w:tcPr>
          <w:p>
            <w:r>
              <w:t>10% / 10 分</w:t>
            </w:r>
          </w:p>
        </w:tc>
      </w:tr>
      <w:tr>
        <w:tc>
          <w:tcPr>
            <w:tcW w:type="dxa" w:w="4320"/>
          </w:tcPr>
          <w:p>
            <w:r>
              <w:t>ROE 高位阈值</w:t>
            </w:r>
          </w:p>
        </w:tc>
        <w:tc>
          <w:tcPr>
            <w:tcW w:type="dxa" w:w="4320"/>
          </w:tcPr>
          <w:p>
            <w:r>
              <w:t>&gt; 15% (无行业数据时)</w:t>
            </w:r>
          </w:p>
        </w:tc>
      </w:tr>
      <w:tr>
        <w:tc>
          <w:tcPr>
            <w:tcW w:type="dxa" w:w="4320"/>
          </w:tcPr>
          <w:p>
            <w:r>
              <w:t>ROE 行业前 20%</w:t>
            </w:r>
          </w:p>
        </w:tc>
        <w:tc>
          <w:tcPr>
            <w:tcW w:type="dxa" w:w="4320"/>
          </w:tcPr>
          <w:p>
            <w:r>
              <w:t>行业内 ROE 的最高 20%</w:t>
            </w:r>
          </w:p>
        </w:tc>
      </w:tr>
      <w:tr>
        <w:tc>
          <w:tcPr>
            <w:tcW w:type="dxa" w:w="4320"/>
          </w:tcPr>
          <w:p>
            <w:r>
              <w:t>PE 低估阈值</w:t>
            </w:r>
          </w:p>
        </w:tc>
        <w:tc>
          <w:tcPr>
            <w:tcW w:type="dxa" w:w="4320"/>
          </w:tcPr>
          <w:p>
            <w:r>
              <w:t>≤ 15 (无行业数据时)</w:t>
            </w:r>
          </w:p>
        </w:tc>
      </w:tr>
      <w:tr>
        <w:tc>
          <w:tcPr>
            <w:tcW w:type="dxa" w:w="4320"/>
          </w:tcPr>
          <w:p>
            <w:r>
              <w:t>PE 高估阈值</w:t>
            </w:r>
          </w:p>
        </w:tc>
        <w:tc>
          <w:tcPr>
            <w:tcW w:type="dxa" w:w="4320"/>
          </w:tcPr>
          <w:p>
            <w:r>
              <w:t>&gt; 50 (无行业数据时)</w:t>
            </w:r>
          </w:p>
        </w:tc>
      </w:tr>
      <w:tr>
        <w:tc>
          <w:tcPr>
            <w:tcW w:type="dxa" w:w="4320"/>
          </w:tcPr>
          <w:p>
            <w:r>
              <w:t>PB 低估阈值</w:t>
            </w:r>
          </w:p>
        </w:tc>
        <w:tc>
          <w:tcPr>
            <w:tcW w:type="dxa" w:w="4320"/>
          </w:tcPr>
          <w:p>
            <w:r>
              <w:t>≤ 2 (无行业数据时)</w:t>
            </w:r>
          </w:p>
        </w:tc>
      </w:tr>
      <w:tr>
        <w:tc>
          <w:tcPr>
            <w:tcW w:type="dxa" w:w="4320"/>
          </w:tcPr>
          <w:p>
            <w:r>
              <w:t>营收高增长阈值</w:t>
            </w:r>
          </w:p>
        </w:tc>
        <w:tc>
          <w:tcPr>
            <w:tcW w:type="dxa" w:w="4320"/>
          </w:tcPr>
          <w:p>
            <w:r>
              <w:t>&gt; 20%</w:t>
            </w:r>
          </w:p>
        </w:tc>
      </w:tr>
      <w:tr>
        <w:tc>
          <w:tcPr>
            <w:tcW w:type="dxa" w:w="4320"/>
          </w:tcPr>
          <w:p>
            <w:r>
              <w:t>净利润高增长阈值</w:t>
            </w:r>
          </w:p>
        </w:tc>
        <w:tc>
          <w:tcPr>
            <w:tcW w:type="dxa" w:w="4320"/>
          </w:tcPr>
          <w:p>
            <w:r>
              <w:t>&gt; 20%</w:t>
            </w:r>
          </w:p>
        </w:tc>
      </w:tr>
      <w:tr>
        <w:tc>
          <w:tcPr>
            <w:tcW w:type="dxa" w:w="4320"/>
          </w:tcPr>
          <w:p>
            <w:r>
              <w:t>MACD 计算周期</w:t>
            </w:r>
          </w:p>
        </w:tc>
        <w:tc>
          <w:tcPr>
            <w:tcW w:type="dxa" w:w="4320"/>
          </w:tcPr>
          <w:p>
            <w:r>
              <w:t>EMA12, EMA26, Signal9</w:t>
            </w:r>
          </w:p>
        </w:tc>
      </w:tr>
      <w:tr>
        <w:tc>
          <w:tcPr>
            <w:tcW w:type="dxa" w:w="4320"/>
          </w:tcPr>
          <w:p>
            <w:r>
              <w:t>RSI 计算周期</w:t>
            </w:r>
          </w:p>
        </w:tc>
        <w:tc>
          <w:tcPr>
            <w:tcW w:type="dxa" w:w="4320"/>
          </w:tcPr>
          <w:p>
            <w:r>
              <w:t>14 日 (Wilder 平滑)</w:t>
            </w:r>
          </w:p>
        </w:tc>
      </w:tr>
      <w:tr>
        <w:tc>
          <w:tcPr>
            <w:tcW w:type="dxa" w:w="4320"/>
          </w:tcPr>
          <w:p>
            <w:r>
              <w:t>布林带参数</w:t>
            </w:r>
          </w:p>
        </w:tc>
        <w:tc>
          <w:tcPr>
            <w:tcW w:type="dxa" w:w="4320"/>
          </w:tcPr>
          <w:p>
            <w:r>
              <w:t>20 日均线, ±2 标准差</w:t>
            </w:r>
          </w:p>
        </w:tc>
      </w:tr>
      <w:tr>
        <w:tc>
          <w:tcPr>
            <w:tcW w:type="dxa" w:w="4320"/>
          </w:tcPr>
          <w:p>
            <w:r>
              <w:t>成交量温和放大</w:t>
            </w:r>
          </w:p>
        </w:tc>
        <w:tc>
          <w:tcPr>
            <w:tcW w:type="dxa" w:w="4320"/>
          </w:tcPr>
          <w:p>
            <w:r>
              <w:t>量比 1.1 - 2.0</w:t>
            </w:r>
          </w:p>
        </w:tc>
      </w:tr>
      <w:tr>
        <w:tc>
          <w:tcPr>
            <w:tcW w:type="dxa" w:w="4320"/>
          </w:tcPr>
          <w:p>
            <w:r>
              <w:t>涨跌停判断</w:t>
            </w:r>
          </w:p>
        </w:tc>
        <w:tc>
          <w:tcPr>
            <w:tcW w:type="dxa" w:w="4320"/>
          </w:tcPr>
          <w:p>
            <w:r>
              <w:t>主板 ±10%, 创业板/科创板 ±20%</w:t>
            </w:r>
          </w:p>
        </w:tc>
      </w:tr>
      <w:tr>
        <w:tc>
          <w:tcPr>
            <w:tcW w:type="dxa" w:w="4320"/>
          </w:tcPr>
          <w:p>
            <w:r>
              <w:t>回测初始资金</w:t>
            </w:r>
          </w:p>
        </w:tc>
        <w:tc>
          <w:tcPr>
            <w:tcW w:type="dxa" w:w="4320"/>
          </w:tcPr>
          <w:p>
            <w:r>
              <w:t>1,000,000 元（默认）</w:t>
            </w:r>
          </w:p>
        </w:tc>
      </w:tr>
      <w:tr>
        <w:tc>
          <w:tcPr>
            <w:tcW w:type="dxa" w:w="4320"/>
          </w:tcPr>
          <w:p>
            <w:r>
              <w:t>回测调仓频率</w:t>
            </w:r>
          </w:p>
        </w:tc>
        <w:tc>
          <w:tcPr>
            <w:tcW w:type="dxa" w:w="4320"/>
          </w:tcPr>
          <w:p>
            <w:r>
              <w:t>月度 (21 天) / 季度 (63 天)</w:t>
            </w:r>
          </w:p>
        </w:tc>
      </w:tr>
      <w:tr>
        <w:tc>
          <w:tcPr>
            <w:tcW w:type="dxa" w:w="4320"/>
          </w:tcPr>
          <w:p>
            <w:r>
              <w:t>回测最大持仓数</w:t>
            </w:r>
          </w:p>
        </w:tc>
        <w:tc>
          <w:tcPr>
            <w:tcW w:type="dxa" w:w="4320"/>
          </w:tcPr>
          <w:p>
            <w:r>
              <w:t>20 只</w:t>
            </w:r>
          </w:p>
        </w:tc>
      </w:tr>
      <w:tr>
        <w:tc>
          <w:tcPr>
            <w:tcW w:type="dxa" w:w="4320"/>
          </w:tcPr>
          <w:p>
            <w:r>
              <w:t>回测选股评分下限</w:t>
            </w:r>
          </w:p>
        </w:tc>
        <w:tc>
          <w:tcPr>
            <w:tcW w:type="dxa" w:w="4320"/>
          </w:tcPr>
          <w:p>
            <w:r>
              <w:t>≥ 65 分</w:t>
            </w:r>
          </w:p>
        </w:tc>
      </w:tr>
      <w:tr>
        <w:tc>
          <w:tcPr>
            <w:tcW w:type="dxa" w:w="4320"/>
          </w:tcPr>
          <w:p>
            <w:r>
              <w:t>佣金费率</w:t>
            </w:r>
          </w:p>
        </w:tc>
        <w:tc>
          <w:tcPr>
            <w:tcW w:type="dxa" w:w="4320"/>
          </w:tcPr>
          <w:p>
            <w:r>
              <w:t>0.025%</w:t>
            </w:r>
          </w:p>
        </w:tc>
      </w:tr>
      <w:tr>
        <w:tc>
          <w:tcPr>
            <w:tcW w:type="dxa" w:w="4320"/>
          </w:tcPr>
          <w:p>
            <w:r>
              <w:t>印花税（仅卖出）</w:t>
            </w:r>
          </w:p>
        </w:tc>
        <w:tc>
          <w:tcPr>
            <w:tcW w:type="dxa" w:w="4320"/>
          </w:tcPr>
          <w:p>
            <w:r>
              <w:t>0.05%</w:t>
            </w:r>
          </w:p>
        </w:tc>
      </w:tr>
      <w:tr>
        <w:tc>
          <w:tcPr>
            <w:tcW w:type="dxa" w:w="4320"/>
          </w:tcPr>
          <w:p>
            <w:r>
              <w:t>滑点</w:t>
            </w:r>
          </w:p>
        </w:tc>
        <w:tc>
          <w:tcPr>
            <w:tcW w:type="dxa" w:w="4320"/>
          </w:tcPr>
          <w:p>
            <w:r>
              <w:t>0.1%</w:t>
            </w:r>
          </w:p>
        </w:tc>
      </w:tr>
      <w:tr>
        <w:tc>
          <w:tcPr>
            <w:tcW w:type="dxa" w:w="4320"/>
          </w:tcPr>
          <w:p>
            <w:r>
              <w:t>最低佣金</w:t>
            </w:r>
          </w:p>
        </w:tc>
        <w:tc>
          <w:tcPr>
            <w:tcW w:type="dxa" w:w="4320"/>
          </w:tcPr>
          <w:p>
            <w:r>
              <w:t>5 元/笔</w:t>
            </w:r>
          </w:p>
        </w:tc>
      </w:tr>
      <w:tr>
        <w:tc>
          <w:tcPr>
            <w:tcW w:type="dxa" w:w="4320"/>
          </w:tcPr>
          <w:p>
            <w:r>
              <w:t>行业集中度上限</w:t>
            </w:r>
          </w:p>
        </w:tc>
        <w:tc>
          <w:tcPr>
            <w:tcW w:type="dxa" w:w="4320"/>
          </w:tcPr>
          <w:p>
            <w:r>
              <w:t>25% (触发仓位减半)</w:t>
            </w:r>
          </w:p>
        </w:tc>
      </w:tr>
      <w:tr>
        <w:tc>
          <w:tcPr>
            <w:tcW w:type="dxa" w:w="4320"/>
          </w:tcPr>
          <w:p>
            <w:r>
              <w:t>总仓位上限</w:t>
            </w:r>
          </w:p>
        </w:tc>
        <w:tc>
          <w:tcPr>
            <w:tcW w:type="dxa" w:w="4320"/>
          </w:tcPr>
          <w:p>
            <w:r>
              <w:t>85% (触发仓位减半)</w:t>
            </w:r>
          </w:p>
        </w:tc>
      </w:tr>
      <w:tr>
        <w:tc>
          <w:tcPr>
            <w:tcW w:type="dxa" w:w="4320"/>
          </w:tcPr>
          <w:p>
            <w:r>
              <w:t>BUY 评级下限</w:t>
            </w:r>
          </w:p>
        </w:tc>
        <w:tc>
          <w:tcPr>
            <w:tcW w:type="dxa" w:w="4320"/>
          </w:tcPr>
          <w:p>
            <w:r>
              <w:t>≥ 85 分</w:t>
            </w:r>
          </w:p>
        </w:tc>
      </w:tr>
      <w:tr>
        <w:tc>
          <w:tcPr>
            <w:tcW w:type="dxa" w:w="4320"/>
          </w:tcPr>
          <w:p>
            <w:r>
              <w:t>ADD 评级下限</w:t>
            </w:r>
          </w:p>
        </w:tc>
        <w:tc>
          <w:tcPr>
            <w:tcW w:type="dxa" w:w="4320"/>
          </w:tcPr>
          <w:p>
            <w:r>
              <w:t>≥ 75 分</w:t>
            </w:r>
          </w:p>
        </w:tc>
      </w:tr>
      <w:tr>
        <w:tc>
          <w:tcPr>
            <w:tcW w:type="dxa" w:w="4320"/>
          </w:tcPr>
          <w:p>
            <w:r>
              <w:t>WATCH 评级下限</w:t>
            </w:r>
          </w:p>
        </w:tc>
        <w:tc>
          <w:tcPr>
            <w:tcW w:type="dxa" w:w="4320"/>
          </w:tcPr>
          <w:p>
            <w:r>
              <w:t>≥ 65 分</w:t>
            </w:r>
          </w:p>
        </w:tc>
      </w:tr>
      <w:tr>
        <w:tc>
          <w:tcPr>
            <w:tcW w:type="dxa" w:w="4320"/>
          </w:tcPr>
          <w:p>
            <w:r>
              <w:t>REDUCE 评级下限</w:t>
            </w:r>
          </w:p>
        </w:tc>
        <w:tc>
          <w:tcPr>
            <w:tcW w:type="dxa" w:w="4320"/>
          </w:tcPr>
          <w:p>
            <w:r>
              <w:t>≥ 50 分</w:t>
            </w:r>
          </w:p>
        </w:tc>
      </w:tr>
      <w:tr>
        <w:tc>
          <w:tcPr>
            <w:tcW w:type="dxa" w:w="4320"/>
          </w:tcPr>
          <w:p>
            <w:r>
              <w:t>仪表盘多头阈值</w:t>
            </w:r>
          </w:p>
        </w:tc>
        <w:tc>
          <w:tcPr>
            <w:tcW w:type="dxa" w:w="4320"/>
          </w:tcPr>
          <w:p>
            <w:r>
              <w:t>BUY+ADD &gt; 2 × (REDUCE+SELL)</w:t>
            </w:r>
          </w:p>
        </w:tc>
      </w:tr>
      <w:tr>
        <w:tc>
          <w:tcPr>
            <w:tcW w:type="dxa" w:w="4320"/>
          </w:tcPr>
          <w:p>
            <w:r>
              <w:t>仪表盘空头阈值</w:t>
            </w:r>
          </w:p>
        </w:tc>
        <w:tc>
          <w:tcPr>
            <w:tcW w:type="dxa" w:w="4320"/>
          </w:tcPr>
          <w:p>
            <w:r>
              <w:t>REDUCE+SELL &gt; 2 × (BUY+ADD)</w:t>
            </w:r>
          </w:p>
        </w:tc>
      </w:tr>
    </w:tbl>
    <w:p>
      <w:r>
        <w:br w:type="page"/>
      </w:r>
    </w:p>
    <w:p>
      <w:pPr>
        <w:pStyle w:val="Heading1"/>
      </w:pPr>
      <w:r>
        <w:t>10. 结论与局限性</w:t>
      </w:r>
    </w:p>
    <w:p>
      <w:pPr>
        <w:pStyle w:val="Heading2"/>
      </w:pPr>
      <w:r>
        <w:t>10.1 算法优势</w:t>
      </w:r>
    </w:p>
    <w:p>
      <w:pPr>
        <w:pStyle w:val="ListBullet"/>
      </w:pPr>
      <w:r>
        <w:t>多维独立评分：五维度互不重复，消除 PE 等指标的重复计分问题</w:t>
      </w:r>
    </w:p>
    <w:p>
      <w:pPr>
        <w:pStyle w:val="ListBullet"/>
      </w:pPr>
      <w:r>
        <w:t>行业内排名：公平比较同行业竞争者，优于全市场统一阈值</w:t>
      </w:r>
    </w:p>
    <w:p>
      <w:pPr>
        <w:pStyle w:val="ListBullet"/>
      </w:pPr>
      <w:r>
        <w:t>前视偏差防护：所有评分和回测环节严格使用历史时点数据</w:t>
      </w:r>
    </w:p>
    <w:p>
      <w:pPr>
        <w:pStyle w:val="ListBullet"/>
      </w:pPr>
      <w:r>
        <w:t>真实交易成本：回测包含佣金、印花税、滑点、涨跌停约束</w:t>
      </w:r>
    </w:p>
    <w:p>
      <w:pPr>
        <w:pStyle w:val="ListBullet"/>
      </w:pPr>
      <w:r>
        <w:t>生存偏差消除：回测包含已退市股票</w:t>
      </w:r>
    </w:p>
    <w:p>
      <w:pPr>
        <w:pStyle w:val="ListBullet"/>
      </w:pPr>
      <w:r>
        <w:t>可解释性：每个评分项均有明确的业务逻辑和中文字段</w:t>
      </w:r>
    </w:p>
    <w:p>
      <w:pPr>
        <w:pStyle w:val="ListBullet"/>
      </w:pPr>
      <w:r>
        <w:t>工程稳健性：批量查询、评分缓存、N+1 消除等性能优化</w:t>
      </w:r>
    </w:p>
    <w:p>
      <w:pPr>
        <w:pStyle w:val="Heading2"/>
      </w:pPr>
      <w:r>
        <w:t>10.2 已知局限性</w:t>
      </w:r>
    </w:p>
    <w:p>
      <w:pPr>
        <w:pStyle w:val="ListBullet"/>
      </w:pPr>
      <w:r>
        <w:t>数据依赖：评分质量严重依赖财务数据的完整性和时效性。财务报告有 1-4 个月的滞后，可能不能及时反映最新经营状况</w:t>
      </w:r>
    </w:p>
    <w:p>
      <w:pPr>
        <w:pStyle w:val="ListBullet"/>
      </w:pPr>
      <w:r>
        <w:t>行业分类：行业标签来自东方财富，可能存在分类不准确或缺失的情况（部分港股无行业标签）</w:t>
      </w:r>
    </w:p>
    <w:p>
      <w:pPr>
        <w:pStyle w:val="ListBullet"/>
      </w:pPr>
      <w:r>
        <w:t>停牌处理：回测不处理停牌，假设停牌期间价格不变</w:t>
      </w:r>
    </w:p>
    <w:p>
      <w:pPr>
        <w:pStyle w:val="ListBullet"/>
      </w:pPr>
      <w:r>
        <w:t>市值基准：回测基准用市值加权近似，非真正沪深 300 或恒生指数</w:t>
      </w:r>
    </w:p>
    <w:p>
      <w:pPr>
        <w:pStyle w:val="ListBullet"/>
      </w:pPr>
      <w:r>
        <w:t>无宏观因子：当前评分模型不嵌入利率、CPI、GDP 等宏观经济变量</w:t>
      </w:r>
    </w:p>
    <w:p>
      <w:pPr>
        <w:pStyle w:val="ListBullet"/>
      </w:pPr>
      <w:r>
        <w:t>无另类数据：未使用舆情、供应链、卫星图像等另类数据</w:t>
      </w:r>
    </w:p>
    <w:p>
      <w:pPr>
        <w:pStyle w:val="ListBullet"/>
      </w:pPr>
      <w:r>
        <w:t>无机器学习：当前为规则型评分，未使用机器学习模型（AI 增强仅在报告生成阶段使用 DeepSeek 大模型）</w:t>
      </w:r>
    </w:p>
    <w:p>
      <w:pPr>
        <w:pStyle w:val="ListBullet"/>
      </w:pPr>
      <w:r>
        <w:t>策略过拟合风险：评分阈值基于经验设定，在不同市场环境下可能表现不一致</w:t>
      </w:r>
    </w:p>
    <w:p>
      <w:pPr>
        <w:pStyle w:val="Heading2"/>
      </w:pPr>
      <w:r>
        <w:t>10.3 免责声明</w:t>
      </w:r>
    </w:p>
    <w:p>
      <w:r>
        <w:t>本文档描述的所有算法、模型、评分、信号和回测结果仅用于学术研究和辅助分析目的，不构成任何形式的投资建议、推荐或承诺。任何基于本系统输出做出的投资决策，其风险和后果由决策者自行承担。过去的表现不代表未来的收益。使用本系统即表示您已阅读并同意上述声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