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color w:val="1A3C6E"/>
          <w:sz w:val="72"/>
        </w:rPr>
        <w:t>创 业 计 划 书</w:t>
      </w:r>
    </w:p>
    <w:p/>
    <w:p>
      <w:pPr>
        <w:jc w:val="center"/>
      </w:pPr>
      <w:r>
        <w:rPr>
          <w:rFonts w:ascii="黑体" w:hAnsi="黑体" w:eastAsia="黑体"/>
          <w:b/>
          <w:color w:val="2E6DA4"/>
          <w:sz w:val="36"/>
        </w:rPr>
        <w:t>融衔量化投资分析平台</w:t>
      </w:r>
    </w:p>
    <w:p/>
    <w:p>
      <w:pPr>
        <w:jc w:val="center"/>
      </w:pPr>
      <w:r>
        <w:rPr>
          <w:rFonts w:ascii="楷体" w:hAnsi="楷体" w:eastAsia="楷体"/>
          <w:color w:val="555555"/>
          <w:sz w:val="28"/>
        </w:rPr>
        <w:t>——面向A股市场的开源智能选股与投资分析辅助系统</w:t>
      </w:r>
    </w:p>
    <w:p/>
    <w:p/>
    <w:p/>
    <w:p/>
    <w:p/>
    <w:p>
      <w:pPr>
        <w:jc w:val="center"/>
      </w:pPr>
      <w:r>
        <w:rPr>
          <w:rFonts w:ascii="宋体" w:hAnsi="宋体" w:eastAsia="宋体"/>
          <w:b/>
          <w:sz w:val="28"/>
        </w:rPr>
        <w:t>项目名称：</w:t>
      </w:r>
      <w:r>
        <w:rPr>
          <w:rFonts w:ascii="宋体" w:hAnsi="宋体" w:eastAsia="宋体"/>
          <w:sz w:val="28"/>
        </w:rPr>
        <w:t>融衔量化投资分析平台</w:t>
      </w:r>
    </w:p>
    <w:p>
      <w:pPr>
        <w:jc w:val="center"/>
      </w:pPr>
      <w:r>
        <w:rPr>
          <w:rFonts w:ascii="宋体" w:hAnsi="宋体" w:eastAsia="宋体"/>
          <w:b/>
          <w:sz w:val="28"/>
        </w:rPr>
        <w:t>项目负责人：</w:t>
      </w:r>
      <w:r>
        <w:rPr>
          <w:rFonts w:ascii="宋体" w:hAnsi="宋体" w:eastAsia="宋体"/>
          <w:sz w:val="28"/>
        </w:rPr>
        <w:t>朱XX</w:t>
      </w:r>
    </w:p>
    <w:p>
      <w:pPr>
        <w:jc w:val="center"/>
      </w:pPr>
      <w:r>
        <w:rPr>
          <w:rFonts w:ascii="宋体" w:hAnsi="宋体" w:eastAsia="宋体"/>
          <w:b/>
          <w:sz w:val="28"/>
        </w:rPr>
        <w:t>团队名称：</w:t>
      </w:r>
      <w:r>
        <w:rPr>
          <w:rFonts w:ascii="宋体" w:hAnsi="宋体" w:eastAsia="宋体"/>
          <w:sz w:val="28"/>
        </w:rPr>
        <w:t>融衔科技团队</w:t>
      </w:r>
    </w:p>
    <w:p>
      <w:pPr>
        <w:jc w:val="center"/>
      </w:pPr>
      <w:r>
        <w:rPr>
          <w:rFonts w:ascii="宋体" w:hAnsi="宋体" w:eastAsia="宋体"/>
          <w:b/>
          <w:sz w:val="28"/>
        </w:rPr>
        <w:t>所在院校：</w:t>
      </w:r>
      <w:r>
        <w:rPr>
          <w:rFonts w:ascii="宋体" w:hAnsi="宋体" w:eastAsia="宋体"/>
          <w:sz w:val="28"/>
        </w:rPr>
        <w:t>XX大学 经济与管理学院</w:t>
      </w:r>
    </w:p>
    <w:p>
      <w:pPr>
        <w:jc w:val="center"/>
      </w:pPr>
      <w:r>
        <w:rPr>
          <w:rFonts w:ascii="宋体" w:hAnsi="宋体" w:eastAsia="宋体"/>
          <w:b/>
          <w:sz w:val="28"/>
        </w:rPr>
        <w:t>指导教师：</w:t>
      </w:r>
      <w:r>
        <w:rPr>
          <w:rFonts w:ascii="宋体" w:hAnsi="宋体" w:eastAsia="宋体"/>
          <w:sz w:val="28"/>
        </w:rPr>
        <w:t>XXX 教授</w:t>
      </w:r>
    </w:p>
    <w:p>
      <w:pPr>
        <w:jc w:val="center"/>
      </w:pPr>
      <w:r>
        <w:rPr>
          <w:rFonts w:ascii="宋体" w:hAnsi="宋体" w:eastAsia="宋体"/>
          <w:b/>
          <w:sz w:val="28"/>
        </w:rPr>
        <w:t>撰写日期：</w:t>
      </w:r>
      <w:r>
        <w:rPr>
          <w:rFonts w:ascii="宋体" w:hAnsi="宋体" w:eastAsia="宋体"/>
          <w:sz w:val="28"/>
        </w:rPr>
        <w:t>2026年6月</w:t>
      </w:r>
    </w:p>
    <w:p>
      <w:r>
        <w:br w:type="page"/>
      </w:r>
    </w:p>
    <w:p>
      <w:pPr>
        <w:jc w:val="center"/>
      </w:pPr>
      <w:r>
        <w:rPr>
          <w:rFonts w:ascii="黑体" w:hAnsi="黑体" w:eastAsia="黑体"/>
          <w:b/>
          <w:sz w:val="28"/>
        </w:rPr>
        <w:t>目    录</w:t>
      </w:r>
    </w:p>
    <w:p/>
    <w:p>
      <w:pPr>
        <w:spacing w:after="40" w:line="360" w:lineRule="auto"/>
      </w:pPr>
      <w:r>
        <w:rPr>
          <w:rFonts w:ascii="黑体" w:hAnsi="黑体" w:eastAsia="黑体"/>
          <w:b/>
          <w:sz w:val="24"/>
        </w:rPr>
        <w:t>一、执行摘要</w:t>
      </w:r>
    </w:p>
    <w:p>
      <w:pPr>
        <w:spacing w:after="40" w:line="360" w:lineRule="auto"/>
      </w:pPr>
      <w:r>
        <w:rPr>
          <w:rFonts w:ascii="黑体" w:hAnsi="黑体" w:eastAsia="黑体"/>
          <w:b/>
          <w:sz w:val="24"/>
        </w:rPr>
        <w:t>二、公司与团队概述</w:t>
      </w:r>
    </w:p>
    <w:p>
      <w:pPr>
        <w:spacing w:after="40" w:line="360" w:lineRule="auto"/>
      </w:pPr>
      <w:r>
        <w:rPr>
          <w:rFonts w:ascii="黑体" w:hAnsi="黑体" w:eastAsia="黑体"/>
          <w:sz w:val="24"/>
        </w:rPr>
        <w:t xml:space="preserve">    2.1 公司简介</w:t>
      </w:r>
    </w:p>
    <w:p>
      <w:pPr>
        <w:spacing w:after="40" w:line="360" w:lineRule="auto"/>
      </w:pPr>
      <w:r>
        <w:rPr>
          <w:rFonts w:ascii="黑体" w:hAnsi="黑体" w:eastAsia="黑体"/>
          <w:sz w:val="24"/>
        </w:rPr>
        <w:t xml:space="preserve">    2.2 团队架构与核心成员</w:t>
      </w:r>
    </w:p>
    <w:p>
      <w:pPr>
        <w:spacing w:after="40" w:line="360" w:lineRule="auto"/>
      </w:pPr>
      <w:r>
        <w:rPr>
          <w:rFonts w:ascii="黑体" w:hAnsi="黑体" w:eastAsia="黑体"/>
          <w:sz w:val="24"/>
        </w:rPr>
        <w:t xml:space="preserve">    2.3 公司愿景与使命</w:t>
      </w:r>
    </w:p>
    <w:p>
      <w:pPr>
        <w:spacing w:after="40" w:line="360" w:lineRule="auto"/>
      </w:pPr>
      <w:r>
        <w:rPr>
          <w:rFonts w:ascii="黑体" w:hAnsi="黑体" w:eastAsia="黑体"/>
          <w:b/>
          <w:sz w:val="24"/>
        </w:rPr>
        <w:t>三、市场分析</w:t>
      </w:r>
    </w:p>
    <w:p>
      <w:pPr>
        <w:spacing w:after="40" w:line="360" w:lineRule="auto"/>
      </w:pPr>
      <w:r>
        <w:rPr>
          <w:rFonts w:ascii="黑体" w:hAnsi="黑体" w:eastAsia="黑体"/>
          <w:sz w:val="24"/>
        </w:rPr>
        <w:t xml:space="preserve">    3.1 行业背景与发展趋势</w:t>
      </w:r>
    </w:p>
    <w:p>
      <w:pPr>
        <w:spacing w:after="40" w:line="360" w:lineRule="auto"/>
      </w:pPr>
      <w:r>
        <w:rPr>
          <w:rFonts w:ascii="黑体" w:hAnsi="黑体" w:eastAsia="黑体"/>
          <w:sz w:val="24"/>
        </w:rPr>
        <w:t xml:space="preserve">    3.2 目标市场规模</w:t>
      </w:r>
    </w:p>
    <w:p>
      <w:pPr>
        <w:spacing w:after="40" w:line="360" w:lineRule="auto"/>
      </w:pPr>
      <w:r>
        <w:rPr>
          <w:rFonts w:ascii="黑体" w:hAnsi="黑体" w:eastAsia="黑体"/>
          <w:sz w:val="24"/>
        </w:rPr>
        <w:t xml:space="preserve">    3.3 用户需求分析</w:t>
      </w:r>
    </w:p>
    <w:p>
      <w:pPr>
        <w:spacing w:after="40" w:line="360" w:lineRule="auto"/>
      </w:pPr>
      <w:r>
        <w:rPr>
          <w:rFonts w:ascii="黑体" w:hAnsi="黑体" w:eastAsia="黑体"/>
          <w:sz w:val="24"/>
        </w:rPr>
        <w:t xml:space="preserve">    3.4 竞争格局分析</w:t>
      </w:r>
    </w:p>
    <w:p>
      <w:pPr>
        <w:spacing w:after="40" w:line="360" w:lineRule="auto"/>
      </w:pPr>
      <w:r>
        <w:rPr>
          <w:rFonts w:ascii="黑体" w:hAnsi="黑体" w:eastAsia="黑体"/>
          <w:b/>
          <w:sz w:val="24"/>
        </w:rPr>
        <w:t>四、产品与服务</w:t>
      </w:r>
    </w:p>
    <w:p>
      <w:pPr>
        <w:spacing w:after="40" w:line="360" w:lineRule="auto"/>
      </w:pPr>
      <w:r>
        <w:rPr>
          <w:rFonts w:ascii="黑体" w:hAnsi="黑体" w:eastAsia="黑体"/>
          <w:sz w:val="24"/>
        </w:rPr>
        <w:t xml:space="preserve">    4.1 产品概述与核心功能</w:t>
      </w:r>
    </w:p>
    <w:p>
      <w:pPr>
        <w:spacing w:after="40" w:line="360" w:lineRule="auto"/>
      </w:pPr>
      <w:r>
        <w:rPr>
          <w:rFonts w:ascii="黑体" w:hAnsi="黑体" w:eastAsia="黑体"/>
          <w:sz w:val="24"/>
        </w:rPr>
        <w:t xml:space="preserve">    4.2 技术架构</w:t>
      </w:r>
    </w:p>
    <w:p>
      <w:pPr>
        <w:spacing w:after="40" w:line="360" w:lineRule="auto"/>
      </w:pPr>
      <w:r>
        <w:rPr>
          <w:rFonts w:ascii="黑体" w:hAnsi="黑体" w:eastAsia="黑体"/>
          <w:sz w:val="24"/>
        </w:rPr>
        <w:t xml:space="preserve">    4.3 五维评分选股模型</w:t>
      </w:r>
    </w:p>
    <w:p>
      <w:pPr>
        <w:spacing w:after="40" w:line="360" w:lineRule="auto"/>
      </w:pPr>
      <w:r>
        <w:rPr>
          <w:rFonts w:ascii="黑体" w:hAnsi="黑体" w:eastAsia="黑体"/>
          <w:sz w:val="24"/>
        </w:rPr>
        <w:t xml:space="preserve">    4.4 策略回测引擎</w:t>
      </w:r>
    </w:p>
    <w:p>
      <w:pPr>
        <w:spacing w:after="40" w:line="360" w:lineRule="auto"/>
      </w:pPr>
      <w:r>
        <w:rPr>
          <w:rFonts w:ascii="黑体" w:hAnsi="黑体" w:eastAsia="黑体"/>
          <w:sz w:val="24"/>
        </w:rPr>
        <w:t xml:space="preserve">    4.5 产品差异化优势</w:t>
      </w:r>
    </w:p>
    <w:p>
      <w:pPr>
        <w:spacing w:after="40" w:line="360" w:lineRule="auto"/>
      </w:pPr>
      <w:r>
        <w:rPr>
          <w:rFonts w:ascii="黑体" w:hAnsi="黑体" w:eastAsia="黑体"/>
          <w:b/>
          <w:sz w:val="24"/>
        </w:rPr>
        <w:t>五、商业模式</w:t>
      </w:r>
    </w:p>
    <w:p>
      <w:pPr>
        <w:spacing w:after="40" w:line="360" w:lineRule="auto"/>
      </w:pPr>
      <w:r>
        <w:rPr>
          <w:rFonts w:ascii="黑体" w:hAnsi="黑体" w:eastAsia="黑体"/>
          <w:sz w:val="24"/>
        </w:rPr>
        <w:t xml:space="preserve">    5.1 盈利模式</w:t>
      </w:r>
    </w:p>
    <w:p>
      <w:pPr>
        <w:spacing w:after="40" w:line="360" w:lineRule="auto"/>
      </w:pPr>
      <w:r>
        <w:rPr>
          <w:rFonts w:ascii="黑体" w:hAnsi="黑体" w:eastAsia="黑体"/>
          <w:sz w:val="24"/>
        </w:rPr>
        <w:t xml:space="preserve">    5.2 定价策略</w:t>
      </w:r>
    </w:p>
    <w:p>
      <w:pPr>
        <w:spacing w:after="40" w:line="360" w:lineRule="auto"/>
      </w:pPr>
      <w:r>
        <w:rPr>
          <w:rFonts w:ascii="黑体" w:hAnsi="黑体" w:eastAsia="黑体"/>
          <w:sz w:val="24"/>
        </w:rPr>
        <w:t xml:space="preserve">    5.3 客户获取与留存策略</w:t>
      </w:r>
    </w:p>
    <w:p>
      <w:pPr>
        <w:spacing w:after="40" w:line="360" w:lineRule="auto"/>
      </w:pPr>
      <w:r>
        <w:rPr>
          <w:rFonts w:ascii="黑体" w:hAnsi="黑体" w:eastAsia="黑体"/>
          <w:b/>
          <w:sz w:val="24"/>
        </w:rPr>
        <w:t>六、营销策略</w:t>
      </w:r>
    </w:p>
    <w:p>
      <w:pPr>
        <w:spacing w:after="40" w:line="360" w:lineRule="auto"/>
      </w:pPr>
      <w:r>
        <w:rPr>
          <w:rFonts w:ascii="黑体" w:hAnsi="黑体" w:eastAsia="黑体"/>
          <w:sz w:val="24"/>
        </w:rPr>
        <w:t xml:space="preserve">    6.1 品牌定位</w:t>
      </w:r>
    </w:p>
    <w:p>
      <w:pPr>
        <w:spacing w:after="40" w:line="360" w:lineRule="auto"/>
      </w:pPr>
      <w:r>
        <w:rPr>
          <w:rFonts w:ascii="黑体" w:hAnsi="黑体" w:eastAsia="黑体"/>
          <w:sz w:val="24"/>
        </w:rPr>
        <w:t xml:space="preserve">    6.2 营销渠道与推广计划</w:t>
      </w:r>
    </w:p>
    <w:p>
      <w:pPr>
        <w:spacing w:after="40" w:line="360" w:lineRule="auto"/>
      </w:pPr>
      <w:r>
        <w:rPr>
          <w:rFonts w:ascii="黑体" w:hAnsi="黑体" w:eastAsia="黑体"/>
          <w:b/>
          <w:sz w:val="24"/>
        </w:rPr>
        <w:t>七、运营计划</w:t>
      </w:r>
    </w:p>
    <w:p>
      <w:pPr>
        <w:spacing w:after="40" w:line="360" w:lineRule="auto"/>
      </w:pPr>
      <w:r>
        <w:rPr>
          <w:rFonts w:ascii="黑体" w:hAnsi="黑体" w:eastAsia="黑体"/>
          <w:sz w:val="24"/>
        </w:rPr>
        <w:t xml:space="preserve">    7.1 日常运营流程</w:t>
      </w:r>
    </w:p>
    <w:p>
      <w:pPr>
        <w:spacing w:after="40" w:line="360" w:lineRule="auto"/>
      </w:pPr>
      <w:r>
        <w:rPr>
          <w:rFonts w:ascii="黑体" w:hAnsi="黑体" w:eastAsia="黑体"/>
          <w:sz w:val="24"/>
        </w:rPr>
        <w:t xml:space="preserve">    7.2 技术运维</w:t>
      </w:r>
    </w:p>
    <w:p>
      <w:pPr>
        <w:spacing w:after="40" w:line="360" w:lineRule="auto"/>
      </w:pPr>
      <w:r>
        <w:rPr>
          <w:rFonts w:ascii="黑体" w:hAnsi="黑体" w:eastAsia="黑体"/>
          <w:sz w:val="24"/>
        </w:rPr>
        <w:t xml:space="preserve">    7.3 数据安全与合规</w:t>
      </w:r>
    </w:p>
    <w:p>
      <w:pPr>
        <w:spacing w:after="40" w:line="360" w:lineRule="auto"/>
      </w:pPr>
      <w:r>
        <w:rPr>
          <w:rFonts w:ascii="黑体" w:hAnsi="黑体" w:eastAsia="黑体"/>
          <w:b/>
          <w:sz w:val="24"/>
        </w:rPr>
        <w:t>八、财务分析与预测</w:t>
      </w:r>
    </w:p>
    <w:p>
      <w:pPr>
        <w:spacing w:after="40" w:line="360" w:lineRule="auto"/>
      </w:pPr>
      <w:r>
        <w:rPr>
          <w:rFonts w:ascii="黑体" w:hAnsi="黑体" w:eastAsia="黑体"/>
          <w:sz w:val="24"/>
        </w:rPr>
        <w:t xml:space="preserve">    8.1 启动资金需求</w:t>
      </w:r>
    </w:p>
    <w:p>
      <w:pPr>
        <w:spacing w:after="40" w:line="360" w:lineRule="auto"/>
      </w:pPr>
      <w:r>
        <w:rPr>
          <w:rFonts w:ascii="黑体" w:hAnsi="黑体" w:eastAsia="黑体"/>
          <w:sz w:val="24"/>
        </w:rPr>
        <w:t xml:space="preserve">    8.2 收入与成本预测</w:t>
      </w:r>
    </w:p>
    <w:p>
      <w:pPr>
        <w:spacing w:after="40" w:line="360" w:lineRule="auto"/>
      </w:pPr>
      <w:r>
        <w:rPr>
          <w:rFonts w:ascii="黑体" w:hAnsi="黑体" w:eastAsia="黑体"/>
          <w:sz w:val="24"/>
        </w:rPr>
        <w:t xml:space="preserve">    8.3 盈利预测与投资回报</w:t>
      </w:r>
    </w:p>
    <w:p>
      <w:pPr>
        <w:spacing w:after="40" w:line="360" w:lineRule="auto"/>
      </w:pPr>
      <w:r>
        <w:rPr>
          <w:rFonts w:ascii="黑体" w:hAnsi="黑体" w:eastAsia="黑体"/>
          <w:b/>
          <w:sz w:val="24"/>
        </w:rPr>
        <w:t>九、风险分析与应对</w:t>
      </w:r>
    </w:p>
    <w:p>
      <w:pPr>
        <w:spacing w:after="40" w:line="360" w:lineRule="auto"/>
      </w:pPr>
      <w:r>
        <w:rPr>
          <w:rFonts w:ascii="黑体" w:hAnsi="黑体" w:eastAsia="黑体"/>
          <w:b/>
          <w:sz w:val="24"/>
        </w:rPr>
        <w:t>十、发展规划与里程碑</w:t>
      </w:r>
    </w:p>
    <w:p>
      <w:pPr>
        <w:spacing w:after="40" w:line="360" w:lineRule="auto"/>
      </w:pPr>
      <w:r>
        <w:rPr>
          <w:rFonts w:ascii="黑体" w:hAnsi="黑体" w:eastAsia="黑体"/>
          <w:b/>
          <w:sz w:val="24"/>
        </w:rPr>
        <w:t>附录A：融衔系统功能截图说明</w:t>
      </w:r>
    </w:p>
    <w:p>
      <w:pPr>
        <w:spacing w:after="40" w:line="360" w:lineRule="auto"/>
      </w:pPr>
      <w:r>
        <w:rPr>
          <w:rFonts w:ascii="黑体" w:hAnsi="黑体" w:eastAsia="黑体"/>
          <w:b/>
          <w:sz w:val="24"/>
        </w:rPr>
        <w:t>附录B：技术术语说明</w:t>
      </w:r>
    </w:p>
    <w:p>
      <w:r>
        <w:br w:type="page"/>
      </w:r>
    </w:p>
    <w:p>
      <w:pPr>
        <w:spacing w:before="360" w:after="200" w:line="288" w:lineRule="auto"/>
      </w:pPr>
      <w:r>
        <w:rPr>
          <w:rFonts w:ascii="宋体" w:hAnsi="宋体" w:eastAsia="宋体"/>
          <w:b/>
          <w:color w:val="1A3C6E"/>
          <w:sz w:val="28"/>
        </w:rPr>
        <w:t>一、执行摘要</w:t>
      </w:r>
    </w:p>
    <w:p>
      <w:pPr>
        <w:spacing w:line="288" w:lineRule="auto" w:after="80"/>
        <w:ind w:firstLine="480"/>
      </w:pPr>
      <w:r>
        <w:rPr>
          <w:rFonts w:ascii="宋体" w:hAnsi="宋体" w:eastAsia="宋体"/>
          <w:sz w:val="24"/>
        </w:rPr>
        <w:t>根据中国证券登记结算有限公司（中国结算）公布的数据，截至2025年末A股市场投资者数量已超过2.33亿户，其中自然人投资者占比超过99%。与此同时，A股上市公司数量已突破5300家，总市值超过90万亿元。面对如此庞大的市场和海量的上市公司，个人投资者在选股和投资决策过程中普遍面临"选不过来、看不透彻、管不好风险"的困境——上市公司数量多、财务报表专业性强、市场信息噪音大，导致大多数散户投资者难以建立系统化的投资分析框架。</w:t>
      </w:r>
    </w:p>
    <w:p>
      <w:pPr>
        <w:spacing w:line="288" w:lineRule="auto" w:after="80"/>
        <w:ind w:firstLine="480"/>
      </w:pPr>
      <w:r>
        <w:rPr>
          <w:rFonts w:ascii="宋体" w:hAnsi="宋体" w:eastAsia="宋体"/>
          <w:sz w:val="24"/>
        </w:rPr>
        <w:t>融衔量化投资分析平台（以下简称"融衔"）是一款面向A股和港股市场的开源智能投资分析辅助系统。平台的核心思路是：用程序化的方法替代人工逐只翻看，用多维度量化评分模型对全市场股票进行系统化筛选和评级，帮助投资者快速定位值得关注的标的，减少信息搜集和初步筛选的时间成本。</w:t>
      </w:r>
    </w:p>
    <w:p>
      <w:pPr>
        <w:spacing w:line="288" w:lineRule="auto" w:after="80"/>
        <w:ind w:firstLine="480"/>
      </w:pPr>
      <w:r>
        <w:rPr>
          <w:rFonts w:ascii="宋体" w:hAnsi="宋体" w:eastAsia="宋体"/>
          <w:sz w:val="24"/>
        </w:rPr>
        <w:t>具体来说，融衔的核心功能包括以下几个方面：第一，基于自研"五维评分模型"（质量、估值、成长、趋势、风险，满分100分）对全市场股票进行量化打分，自动生成BUY/ADD/WATCH/REDUCE/SELL五级投资信号；第二，内置策略回测引擎，用户可以设定选股条件和持仓周期，基于真实历史数据模拟投资组合的表现，查看总收益率、年化收益率、最大回撤、夏普比率等关键指标；第三，提供针对不同风险偏好的风格化投资策略报告——稳健型（低波动高分红蓝筹为主、最大仓位60%）、进取型（高成长强趋势个股为主、最大仓位90%）和保守型（低估值高安全边际个股为主、最大仓位40%）；第四，支持通过QQ邮箱和飞书Webhook自动推送每日信号摘要和风险预警。</w:t>
      </w:r>
    </w:p>
    <w:p>
      <w:pPr>
        <w:spacing w:line="288" w:lineRule="auto" w:after="80"/>
        <w:ind w:firstLine="480"/>
      </w:pPr>
      <w:r>
        <w:rPr>
          <w:rFonts w:ascii="宋体" w:hAnsi="宋体" w:eastAsia="宋体"/>
          <w:sz w:val="24"/>
        </w:rPr>
        <w:t>与市场现有产品相比，融衔的差异化定位在于：第一，开源免费——核心功能完全免费开放，代码托管在GitHub上，采用MIT协议，任何人可以自由使用和修改；第二，专注中长线基本面选股——不做短线技术分析，而是从公司质地、估值水平、成长能力等基本面维度进行中长期视角的选股分析；第三，一体化分析闭环——从数据采集、量化评分、信号生成、策略回测到报告输出，全流程在一个平台内完成，用户无需在多个工具之间切换。</w:t>
      </w:r>
    </w:p>
    <w:p>
      <w:pPr>
        <w:spacing w:line="288" w:lineRule="auto" w:after="80"/>
        <w:ind w:firstLine="480"/>
      </w:pPr>
      <w:r>
        <w:rPr>
          <w:rFonts w:ascii="宋体" w:hAnsi="宋体" w:eastAsia="宋体"/>
          <w:sz w:val="24"/>
        </w:rPr>
        <w:t>本计划书将从市场环境、产品设计、商业模式、财务预测和风险管控等维度，对融衔项目进行全面的分析和规划。项目计划融资500万元人民币，主要用于产品研发、市场推广和运营支出，目标在运营第三年实现盈亏平衡并开始规模化盈利。</w:t>
      </w:r>
    </w:p>
    <w:p>
      <w:r>
        <w:br w:type="page"/>
      </w:r>
    </w:p>
    <w:p>
      <w:pPr>
        <w:spacing w:before="360" w:after="200" w:line="288" w:lineRule="auto"/>
      </w:pPr>
      <w:r>
        <w:rPr>
          <w:rFonts w:ascii="宋体" w:hAnsi="宋体" w:eastAsia="宋体"/>
          <w:b/>
          <w:color w:val="1A3C6E"/>
          <w:sz w:val="28"/>
        </w:rPr>
        <w:t>二、公司与团队概述</w:t>
      </w:r>
    </w:p>
    <w:p>
      <w:pPr>
        <w:spacing w:before="240" w:after="120" w:line="288" w:lineRule="auto"/>
      </w:pPr>
      <w:r>
        <w:rPr>
          <w:rFonts w:ascii="宋体" w:hAnsi="宋体" w:eastAsia="宋体"/>
          <w:b/>
          <w:sz w:val="24"/>
        </w:rPr>
        <w:t>2.1 公司简介</w:t>
      </w:r>
    </w:p>
    <w:p>
      <w:pPr>
        <w:spacing w:line="288" w:lineRule="auto" w:after="80"/>
        <w:ind w:firstLine="480"/>
      </w:pPr>
      <w:r>
        <w:rPr>
          <w:rFonts w:ascii="宋体" w:hAnsi="宋体" w:eastAsia="宋体"/>
          <w:sz w:val="24"/>
        </w:rPr>
        <w:t>融衔科技有限公司（筹）计划注册于XX市高新技术产业开发区，是一家专注于金融科技领域的创业企业。公司名称"融衔"取"金融衔接"之意，寓意在普通个人投资者与专业量化分析方法之间搭建一座桥梁。</w:t>
      </w:r>
    </w:p>
    <w:p>
      <w:pPr>
        <w:spacing w:line="288" w:lineRule="auto" w:after="80"/>
        <w:ind w:firstLine="480"/>
      </w:pPr>
      <w:r>
        <w:rPr>
          <w:rFonts w:ascii="宋体" w:hAnsi="宋体" w:eastAsia="宋体"/>
          <w:sz w:val="24"/>
        </w:rPr>
        <w:t>公司的核心产品——融衔量化投资分析平台，是一个基于Python（FastAPI后端）和Next.js（React前端）技术栈构建的B/S架构应用。系统通过AKShare、Yahoo Finance和东方财富三个数据源获取A股和港股的行情数据与财务数据，运用自研的量化评分模型进行分析处理，最终以可视化的仪表盘、信号列表、分析报告等形式呈现给用户。系统严格遵守中国证监会相关规定，定位为"研究与辅助分析工具"，所有页面均标注"本系统仅供研究和辅助分析使用，不构成任何投资建议"的免责声明，不接入券商交易接口，不执行任何实际交易操作。</w:t>
      </w:r>
    </w:p>
    <w:p>
      <w:pPr>
        <w:spacing w:before="240" w:after="120" w:line="288" w:lineRule="auto"/>
      </w:pPr>
      <w:r>
        <w:rPr>
          <w:rFonts w:ascii="宋体" w:hAnsi="宋体" w:eastAsia="宋体"/>
          <w:b/>
          <w:sz w:val="24"/>
        </w:rPr>
        <w:t>2.2 团队架构与核心成员</w:t>
      </w:r>
    </w:p>
    <w:p>
      <w:pPr>
        <w:spacing w:line="288" w:lineRule="auto" w:after="80"/>
        <w:ind w:firstLine="480"/>
      </w:pPr>
      <w:r>
        <w:rPr>
          <w:rFonts w:ascii="宋体" w:hAnsi="宋体" w:eastAsia="宋体"/>
          <w:sz w:val="24"/>
        </w:rPr>
        <w:t>创业团队采用"金融+技术+运营"的三角互补结构，核心成员均具有相关领域的专业背景。</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1701"/>
            <w:shd w:fill="1A3C6E"/>
          </w:tcPr>
          <w:p>
            <w:pPr>
              <w:jc w:val="center"/>
            </w:pPr>
            <w:r/>
            <w:r>
              <w:rPr>
                <w:rFonts w:ascii="黑体" w:hAnsi="黑体" w:eastAsia="黑体"/>
                <w:b/>
                <w:color w:val="FFFFFF"/>
                <w:sz w:val="21"/>
              </w:rPr>
              <w:t>职位</w:t>
            </w:r>
          </w:p>
        </w:tc>
        <w:tc>
          <w:tcPr>
            <w:tcW w:type="dxa" w:w="1417"/>
            <w:shd w:fill="1A3C6E"/>
          </w:tcPr>
          <w:p>
            <w:pPr>
              <w:jc w:val="center"/>
            </w:pPr>
            <w:r/>
            <w:r>
              <w:rPr>
                <w:rFonts w:ascii="黑体" w:hAnsi="黑体" w:eastAsia="黑体"/>
                <w:b/>
                <w:color w:val="FFFFFF"/>
                <w:sz w:val="21"/>
              </w:rPr>
              <w:t>姓名</w:t>
            </w:r>
          </w:p>
        </w:tc>
        <w:tc>
          <w:tcPr>
            <w:tcW w:type="dxa" w:w="1701"/>
            <w:shd w:fill="1A3C6E"/>
          </w:tcPr>
          <w:p>
            <w:pPr>
              <w:jc w:val="center"/>
            </w:pPr>
            <w:r/>
            <w:r>
              <w:rPr>
                <w:rFonts w:ascii="黑体" w:hAnsi="黑体" w:eastAsia="黑体"/>
                <w:b/>
                <w:color w:val="FFFFFF"/>
                <w:sz w:val="21"/>
              </w:rPr>
              <w:t>专业背景</w:t>
            </w:r>
          </w:p>
        </w:tc>
        <w:tc>
          <w:tcPr>
            <w:tcW w:type="dxa" w:w="2835"/>
            <w:shd w:fill="1A3C6E"/>
          </w:tcPr>
          <w:p>
            <w:pPr>
              <w:jc w:val="center"/>
            </w:pPr>
            <w:r/>
            <w:r>
              <w:rPr>
                <w:rFonts w:ascii="黑体" w:hAnsi="黑体" w:eastAsia="黑体"/>
                <w:b/>
                <w:color w:val="FFFFFF"/>
                <w:sz w:val="21"/>
              </w:rPr>
              <w:t>核心职责</w:t>
            </w:r>
          </w:p>
        </w:tc>
      </w:tr>
      <w:tr>
        <w:tc>
          <w:tcPr>
            <w:tcW w:type="dxa" w:w="1701"/>
            <w:shd w:fill="EBF0F7"/>
          </w:tcPr>
          <w:p>
            <w:pPr>
              <w:jc w:val="center"/>
            </w:pPr>
            <w:r/>
            <w:r>
              <w:rPr>
                <w:rFonts w:ascii="宋体" w:hAnsi="宋体" w:eastAsia="宋体"/>
                <w:sz w:val="21"/>
              </w:rPr>
              <w:t>CEO/项目负责人</w:t>
            </w:r>
          </w:p>
        </w:tc>
        <w:tc>
          <w:tcPr>
            <w:tcW w:type="dxa" w:w="1417"/>
            <w:shd w:fill="EBF0F7"/>
          </w:tcPr>
          <w:p>
            <w:pPr>
              <w:jc w:val="center"/>
            </w:pPr>
            <w:r/>
            <w:r>
              <w:rPr>
                <w:rFonts w:ascii="宋体" w:hAnsi="宋体" w:eastAsia="宋体"/>
                <w:sz w:val="21"/>
              </w:rPr>
              <w:t>朱XX</w:t>
            </w:r>
          </w:p>
        </w:tc>
        <w:tc>
          <w:tcPr>
            <w:tcW w:type="dxa" w:w="1701"/>
            <w:shd w:fill="EBF0F7"/>
          </w:tcPr>
          <w:p>
            <w:pPr>
              <w:jc w:val="center"/>
            </w:pPr>
            <w:r/>
            <w:r>
              <w:rPr>
                <w:rFonts w:ascii="宋体" w:hAnsi="宋体" w:eastAsia="宋体"/>
                <w:sz w:val="21"/>
              </w:rPr>
              <w:t>金融工程硕士</w:t>
            </w:r>
          </w:p>
        </w:tc>
        <w:tc>
          <w:tcPr>
            <w:tcW w:type="dxa" w:w="2835"/>
            <w:shd w:fill="EBF0F7"/>
          </w:tcPr>
          <w:p>
            <w:pPr>
              <w:jc w:val="center"/>
            </w:pPr>
            <w:r/>
            <w:r>
              <w:rPr>
                <w:rFonts w:ascii="宋体" w:hAnsi="宋体" w:eastAsia="宋体"/>
                <w:sz w:val="21"/>
              </w:rPr>
              <w:t>战略规划、融资对接、业务拓展</w:t>
            </w:r>
          </w:p>
        </w:tc>
      </w:tr>
      <w:tr>
        <w:tc>
          <w:tcPr>
            <w:tcW w:type="dxa" w:w="1701"/>
          </w:tcPr>
          <w:p>
            <w:pPr>
              <w:jc w:val="center"/>
            </w:pPr>
            <w:r/>
            <w:r>
              <w:rPr>
                <w:rFonts w:ascii="宋体" w:hAnsi="宋体" w:eastAsia="宋体"/>
                <w:sz w:val="21"/>
              </w:rPr>
              <w:t>CTO/技术总监</w:t>
            </w:r>
          </w:p>
        </w:tc>
        <w:tc>
          <w:tcPr>
            <w:tcW w:type="dxa" w:w="1417"/>
          </w:tcPr>
          <w:p>
            <w:pPr>
              <w:jc w:val="center"/>
            </w:pPr>
            <w:r/>
            <w:r>
              <w:rPr>
                <w:rFonts w:ascii="宋体" w:hAnsi="宋体" w:eastAsia="宋体"/>
                <w:sz w:val="21"/>
              </w:rPr>
              <w:t>待招募</w:t>
            </w:r>
          </w:p>
        </w:tc>
        <w:tc>
          <w:tcPr>
            <w:tcW w:type="dxa" w:w="1701"/>
          </w:tcPr>
          <w:p>
            <w:pPr>
              <w:jc w:val="center"/>
            </w:pPr>
            <w:r/>
            <w:r>
              <w:rPr>
                <w:rFonts w:ascii="宋体" w:hAnsi="宋体" w:eastAsia="宋体"/>
                <w:sz w:val="21"/>
              </w:rPr>
              <w:t>计算机科学硕士</w:t>
            </w:r>
          </w:p>
        </w:tc>
        <w:tc>
          <w:tcPr>
            <w:tcW w:type="dxa" w:w="2835"/>
          </w:tcPr>
          <w:p>
            <w:pPr>
              <w:jc w:val="center"/>
            </w:pPr>
            <w:r/>
            <w:r>
              <w:rPr>
                <w:rFonts w:ascii="宋体" w:hAnsi="宋体" w:eastAsia="宋体"/>
                <w:sz w:val="21"/>
              </w:rPr>
              <w:t>系统架构设计、技术团队管理</w:t>
            </w:r>
          </w:p>
        </w:tc>
      </w:tr>
      <w:tr>
        <w:tc>
          <w:tcPr>
            <w:tcW w:type="dxa" w:w="1701"/>
            <w:shd w:fill="EBF0F7"/>
          </w:tcPr>
          <w:p>
            <w:pPr>
              <w:jc w:val="center"/>
            </w:pPr>
            <w:r/>
            <w:r>
              <w:rPr>
                <w:rFonts w:ascii="宋体" w:hAnsi="宋体" w:eastAsia="宋体"/>
                <w:sz w:val="21"/>
              </w:rPr>
              <w:t>首席分析师</w:t>
            </w:r>
          </w:p>
        </w:tc>
        <w:tc>
          <w:tcPr>
            <w:tcW w:type="dxa" w:w="1417"/>
            <w:shd w:fill="EBF0F7"/>
          </w:tcPr>
          <w:p>
            <w:pPr>
              <w:jc w:val="center"/>
            </w:pPr>
            <w:r/>
            <w:r>
              <w:rPr>
                <w:rFonts w:ascii="宋体" w:hAnsi="宋体" w:eastAsia="宋体"/>
                <w:sz w:val="21"/>
              </w:rPr>
              <w:t>待招募</w:t>
            </w:r>
          </w:p>
        </w:tc>
        <w:tc>
          <w:tcPr>
            <w:tcW w:type="dxa" w:w="1701"/>
            <w:shd w:fill="EBF0F7"/>
          </w:tcPr>
          <w:p>
            <w:pPr>
              <w:jc w:val="center"/>
            </w:pPr>
            <w:r/>
            <w:r>
              <w:rPr>
                <w:rFonts w:ascii="宋体" w:hAnsi="宋体" w:eastAsia="宋体"/>
                <w:sz w:val="21"/>
              </w:rPr>
              <w:t>金融学博士</w:t>
            </w:r>
          </w:p>
        </w:tc>
        <w:tc>
          <w:tcPr>
            <w:tcW w:type="dxa" w:w="2835"/>
            <w:shd w:fill="EBF0F7"/>
          </w:tcPr>
          <w:p>
            <w:pPr>
              <w:jc w:val="center"/>
            </w:pPr>
            <w:r/>
            <w:r>
              <w:rPr>
                <w:rFonts w:ascii="宋体" w:hAnsi="宋体" w:eastAsia="宋体"/>
                <w:sz w:val="21"/>
              </w:rPr>
              <w:t>量化模型开发、评分体系优化</w:t>
            </w:r>
          </w:p>
        </w:tc>
      </w:tr>
      <w:tr>
        <w:tc>
          <w:tcPr>
            <w:tcW w:type="dxa" w:w="1701"/>
          </w:tcPr>
          <w:p>
            <w:pPr>
              <w:jc w:val="center"/>
            </w:pPr>
            <w:r/>
            <w:r>
              <w:rPr>
                <w:rFonts w:ascii="宋体" w:hAnsi="宋体" w:eastAsia="宋体"/>
                <w:sz w:val="21"/>
              </w:rPr>
              <w:t>产品经理</w:t>
            </w:r>
          </w:p>
        </w:tc>
        <w:tc>
          <w:tcPr>
            <w:tcW w:type="dxa" w:w="1417"/>
          </w:tcPr>
          <w:p>
            <w:pPr>
              <w:jc w:val="center"/>
            </w:pPr>
            <w:r/>
            <w:r>
              <w:rPr>
                <w:rFonts w:ascii="宋体" w:hAnsi="宋体" w:eastAsia="宋体"/>
                <w:sz w:val="21"/>
              </w:rPr>
              <w:t>待招募</w:t>
            </w:r>
          </w:p>
        </w:tc>
        <w:tc>
          <w:tcPr>
            <w:tcW w:type="dxa" w:w="1701"/>
          </w:tcPr>
          <w:p>
            <w:pPr>
              <w:jc w:val="center"/>
            </w:pPr>
            <w:r/>
            <w:r>
              <w:rPr>
                <w:rFonts w:ascii="宋体" w:hAnsi="宋体" w:eastAsia="宋体"/>
                <w:sz w:val="21"/>
              </w:rPr>
              <w:t>信息管理学士</w:t>
            </w:r>
          </w:p>
        </w:tc>
        <w:tc>
          <w:tcPr>
            <w:tcW w:type="dxa" w:w="2835"/>
          </w:tcPr>
          <w:p>
            <w:pPr>
              <w:jc w:val="center"/>
            </w:pPr>
            <w:r/>
            <w:r>
              <w:rPr>
                <w:rFonts w:ascii="宋体" w:hAnsi="宋体" w:eastAsia="宋体"/>
                <w:sz w:val="21"/>
              </w:rPr>
              <w:t>产品设计、用户研究、需求分析</w:t>
            </w:r>
          </w:p>
        </w:tc>
      </w:tr>
      <w:tr>
        <w:tc>
          <w:tcPr>
            <w:tcW w:type="dxa" w:w="1701"/>
            <w:shd w:fill="EBF0F7"/>
          </w:tcPr>
          <w:p>
            <w:pPr>
              <w:jc w:val="center"/>
            </w:pPr>
            <w:r/>
            <w:r>
              <w:rPr>
                <w:rFonts w:ascii="宋体" w:hAnsi="宋体" w:eastAsia="宋体"/>
                <w:sz w:val="21"/>
              </w:rPr>
              <w:t>市场总监</w:t>
            </w:r>
          </w:p>
        </w:tc>
        <w:tc>
          <w:tcPr>
            <w:tcW w:type="dxa" w:w="1417"/>
            <w:shd w:fill="EBF0F7"/>
          </w:tcPr>
          <w:p>
            <w:pPr>
              <w:jc w:val="center"/>
            </w:pPr>
            <w:r/>
            <w:r>
              <w:rPr>
                <w:rFonts w:ascii="宋体" w:hAnsi="宋体" w:eastAsia="宋体"/>
                <w:sz w:val="21"/>
              </w:rPr>
              <w:t>待招募</w:t>
            </w:r>
          </w:p>
        </w:tc>
        <w:tc>
          <w:tcPr>
            <w:tcW w:type="dxa" w:w="1701"/>
            <w:shd w:fill="EBF0F7"/>
          </w:tcPr>
          <w:p>
            <w:pPr>
              <w:jc w:val="center"/>
            </w:pPr>
            <w:r/>
            <w:r>
              <w:rPr>
                <w:rFonts w:ascii="宋体" w:hAnsi="宋体" w:eastAsia="宋体"/>
                <w:sz w:val="21"/>
              </w:rPr>
              <w:t>市场营销硕士</w:t>
            </w:r>
          </w:p>
        </w:tc>
        <w:tc>
          <w:tcPr>
            <w:tcW w:type="dxa" w:w="2835"/>
            <w:shd w:fill="EBF0F7"/>
          </w:tcPr>
          <w:p>
            <w:pPr>
              <w:jc w:val="center"/>
            </w:pPr>
            <w:r/>
            <w:r>
              <w:rPr>
                <w:rFonts w:ascii="宋体" w:hAnsi="宋体" w:eastAsia="宋体"/>
                <w:sz w:val="21"/>
              </w:rPr>
              <w:t>品牌推广、渠道建设、用户增长</w:t>
            </w:r>
          </w:p>
        </w:tc>
      </w:tr>
    </w:tbl>
    <w:p/>
    <w:p>
      <w:pPr>
        <w:spacing w:line="288" w:lineRule="auto" w:after="80"/>
        <w:ind w:firstLine="480"/>
      </w:pPr>
      <w:r>
        <w:rPr>
          <w:rFonts w:ascii="宋体" w:hAnsi="宋体" w:eastAsia="宋体"/>
          <w:sz w:val="24"/>
        </w:rPr>
        <w:t>团队采用扁平化管理结构，以两周为一个迭代周期的敏捷开发模式推进产品迭代。在项目早期阶段，核心团队规模控制在5-8人，以技术研发为主；随着产品成熟和用户增长，逐步扩充市场运营、客户服务等部门，计划在第三年扩展至20-30人。</w:t>
      </w:r>
    </w:p>
    <w:p>
      <w:pPr>
        <w:spacing w:before="240" w:after="120" w:line="288" w:lineRule="auto"/>
      </w:pPr>
      <w:r>
        <w:rPr>
          <w:rFonts w:ascii="宋体" w:hAnsi="宋体" w:eastAsia="宋体"/>
          <w:b/>
          <w:sz w:val="24"/>
        </w:rPr>
        <w:t>2.3 公司愿景与使命</w:t>
      </w:r>
    </w:p>
    <w:p>
      <w:pPr>
        <w:spacing w:line="288" w:lineRule="auto" w:after="80"/>
        <w:ind w:firstLine="480"/>
      </w:pPr>
      <w:r>
        <w:rPr>
          <w:rFonts w:ascii="宋体" w:hAnsi="宋体" w:eastAsia="宋体"/>
          <w:sz w:val="24"/>
        </w:rPr>
        <w:t>愿景：成为中国个人投资者信赖的智能投资分析工具，让专业的量化分析方法不再是机构投资者的专利。</w:t>
      </w:r>
    </w:p>
    <w:p>
      <w:pPr>
        <w:spacing w:line="288" w:lineRule="auto" w:after="80"/>
        <w:ind w:firstLine="480"/>
      </w:pPr>
      <w:r>
        <w:rPr>
          <w:rFonts w:ascii="宋体" w:hAnsi="宋体" w:eastAsia="宋体"/>
          <w:sz w:val="24"/>
        </w:rPr>
        <w:t>使命：通过开源技术和数据驱动的方法，帮助个人投资者建立系统化的投资分析框架，在信息过载的市场环境中做出更加理性的投资决策。</w:t>
      </w:r>
    </w:p>
    <w:p>
      <w:pPr>
        <w:spacing w:line="288" w:lineRule="auto" w:after="80"/>
        <w:ind w:firstLine="480"/>
      </w:pPr>
      <w:r>
        <w:rPr>
          <w:rFonts w:ascii="宋体" w:hAnsi="宋体" w:eastAsia="宋体"/>
          <w:sz w:val="24"/>
        </w:rPr>
        <w:t>核心价值观：开放（Open）——坚持开源，降低使用门槛；专业（Professional）——以严谨的量化方法论为根基；务实（Practical）——产品功能设计从用户真实需求出发，不做华而不实的功能堆砌；合规（Compliance）——严格遵守金融监管法规，守住法律底线。</w:t>
      </w:r>
    </w:p>
    <w:p>
      <w:r>
        <w:br w:type="page"/>
      </w:r>
    </w:p>
    <w:p>
      <w:pPr>
        <w:spacing w:before="360" w:after="200" w:line="288" w:lineRule="auto"/>
      </w:pPr>
      <w:r>
        <w:rPr>
          <w:rFonts w:ascii="宋体" w:hAnsi="宋体" w:eastAsia="宋体"/>
          <w:b/>
          <w:color w:val="1A3C6E"/>
          <w:sz w:val="28"/>
        </w:rPr>
        <w:t>三、市场分析</w:t>
      </w:r>
    </w:p>
    <w:p>
      <w:pPr>
        <w:spacing w:before="240" w:after="120" w:line="288" w:lineRule="auto"/>
      </w:pPr>
      <w:r>
        <w:rPr>
          <w:rFonts w:ascii="宋体" w:hAnsi="宋体" w:eastAsia="宋体"/>
          <w:b/>
          <w:sz w:val="24"/>
        </w:rPr>
        <w:t>3.1 行业背景与发展趋势</w:t>
      </w:r>
    </w:p>
    <w:p>
      <w:pPr>
        <w:spacing w:line="288" w:lineRule="auto" w:after="80"/>
        <w:ind w:firstLine="480"/>
      </w:pPr>
      <w:r>
        <w:rPr>
          <w:rFonts w:ascii="宋体" w:hAnsi="宋体" w:eastAsia="宋体"/>
          <w:sz w:val="24"/>
        </w:rPr>
        <w:t>中国资本市场正处于制度性变革的关键时期。2019年科创板开板并试点注册制，2020年新《证券法》正式实施，2021年北交所揭牌成立，2023年全面注册制正式落地——这一系列制度变革使得A股市场的上市公司数量快速增加，市场结构日趋复杂。根据Wind数据，A股上市公司数量从2019年初的约3500家增长至2025年末的超过5300家，增幅超过50%。上市公司数量的快速增长意味着个人投资者需要关注和分析的标的越来越多，单纯依靠人工逐只翻看财报和公告的方式已经越来越难以适应市场的变化。</w:t>
      </w:r>
    </w:p>
    <w:p>
      <w:pPr>
        <w:spacing w:line="288" w:lineRule="auto" w:after="80"/>
        <w:ind w:firstLine="480"/>
      </w:pPr>
      <w:r>
        <w:rPr>
          <w:rFonts w:ascii="宋体" w:hAnsi="宋体" w:eastAsia="宋体"/>
          <w:sz w:val="24"/>
        </w:rPr>
        <w:t>从居民财富结构来看，中国人民银行调查统计司发布的《2019年中国城镇居民家庭资产负债情况调查》显示，中国城镇居民家庭的资产配置以实物资产为主，住房资产占比高达59.1%，金融资产占比仅为20.4%。近年来，在"房住不炒"政策的长期化引导下，居民财富正在从房地产市场向金融市场逐步转移。根据央行近年公布的数据，居民金融资产配置比例呈上升趋势，其中股票和基金类资产的配置意愿持续增强。这一结构性变化为投资分析工具和服务带来了长期的增量需求。</w:t>
      </w:r>
    </w:p>
    <w:p>
      <w:pPr>
        <w:spacing w:line="288" w:lineRule="auto" w:after="80"/>
        <w:ind w:firstLine="480"/>
      </w:pPr>
      <w:r>
        <w:rPr>
          <w:rFonts w:ascii="宋体" w:hAnsi="宋体" w:eastAsia="宋体"/>
          <w:sz w:val="24"/>
        </w:rPr>
        <w:t>金融科技（FinTech）行业近年来保持快速发展态势。根据艾瑞咨询发布的研究报告，中国金融科技市场规模从2020年的约1.37万亿元增长至2024年的约2.48万亿元，年均复合增长率约16%。其中，智能投顾、量化分析等细分领域的增速更快。随着人工智能、大数据和云计算技术的日趋成熟，金融科技产品正从简单的行情展示向智能化的分析、筛选和预警方向演进。</w:t>
      </w:r>
    </w:p>
    <w:p>
      <w:pPr>
        <w:jc w:val="center"/>
      </w:pPr>
      <w:r>
        <w:drawing>
          <wp:inline xmlns:a="http://schemas.openxmlformats.org/drawingml/2006/main" xmlns:pic="http://schemas.openxmlformats.org/drawingml/2006/picture">
            <wp:extent cx="5040000" cy="280283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2802835"/>
                    </a:xfrm>
                    <a:prstGeom prst="rect"/>
                  </pic:spPr>
                </pic:pic>
              </a:graphicData>
            </a:graphic>
          </wp:inline>
        </w:drawing>
      </w:r>
    </w:p>
    <w:p>
      <w:pPr>
        <w:jc w:val="center"/>
      </w:pPr>
      <w:r>
        <w:rPr>
          <w:rFonts w:ascii="宋体" w:hAnsi="宋体" w:eastAsia="宋体"/>
          <w:i/>
          <w:color w:val="666666"/>
          <w:sz w:val="21"/>
        </w:rPr>
        <w:t>图3-1 A股市场投资者数量变化（2019-2025）  数据来源：中国证券登记结算有限公司</w:t>
      </w:r>
    </w:p>
    <w:p>
      <w:pPr>
        <w:jc w:val="center"/>
      </w:pPr>
      <w:r>
        <w:drawing>
          <wp:inline xmlns:a="http://schemas.openxmlformats.org/drawingml/2006/main" xmlns:pic="http://schemas.openxmlformats.org/drawingml/2006/picture">
            <wp:extent cx="5040000" cy="279622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2796223"/>
                    </a:xfrm>
                    <a:prstGeom prst="rect"/>
                  </pic:spPr>
                </pic:pic>
              </a:graphicData>
            </a:graphic>
          </wp:inline>
        </w:drawing>
      </w:r>
    </w:p>
    <w:p>
      <w:pPr>
        <w:jc w:val="center"/>
      </w:pPr>
      <w:r>
        <w:rPr>
          <w:rFonts w:ascii="宋体" w:hAnsi="宋体" w:eastAsia="宋体"/>
          <w:i/>
          <w:color w:val="666666"/>
          <w:sz w:val="21"/>
        </w:rPr>
        <w:t>图3-2 中国金融科技市场规模（2020-2025E）  数据来源：艾瑞咨询</w:t>
      </w:r>
    </w:p>
    <w:p>
      <w:pPr>
        <w:spacing w:before="240" w:after="120" w:line="288" w:lineRule="auto"/>
      </w:pPr>
      <w:r>
        <w:rPr>
          <w:rFonts w:ascii="宋体" w:hAnsi="宋体" w:eastAsia="宋体"/>
          <w:b/>
          <w:sz w:val="24"/>
        </w:rPr>
        <w:t>3.2 目标市场规模</w:t>
      </w:r>
    </w:p>
    <w:p>
      <w:pPr>
        <w:spacing w:line="288" w:lineRule="auto" w:after="80"/>
        <w:ind w:firstLine="480"/>
      </w:pPr>
      <w:r>
        <w:rPr>
          <w:rFonts w:ascii="宋体" w:hAnsi="宋体" w:eastAsia="宋体"/>
          <w:sz w:val="24"/>
        </w:rPr>
        <w:t>融衔的目标市场可以从以下三个层次来理解：</w:t>
      </w:r>
    </w:p>
    <w:p>
      <w:pPr>
        <w:spacing w:line="288" w:lineRule="auto" w:after="80"/>
        <w:ind w:firstLine="480"/>
      </w:pPr>
      <w:r>
        <w:rPr>
          <w:rFonts w:ascii="宋体" w:hAnsi="宋体" w:eastAsia="宋体"/>
          <w:sz w:val="24"/>
        </w:rPr>
        <w:t>总可及市场（TAM）：中国个人投资者群体，规模约2.33亿户（中国结算2025年数据）。这是一个极其庞大的用户基数，但其中真正有系统化分析需求的活跃投资者是其中的一个子集。</w:t>
      </w:r>
    </w:p>
    <w:p>
      <w:pPr>
        <w:spacing w:line="288" w:lineRule="auto" w:after="80"/>
        <w:ind w:firstLine="480"/>
      </w:pPr>
      <w:r>
        <w:rPr>
          <w:rFonts w:ascii="宋体" w:hAnsi="宋体" w:eastAsia="宋体"/>
          <w:sz w:val="24"/>
        </w:rPr>
        <w:t>可服务市场（SAM）：有量化分析工具使用意愿的中高活跃度个人投资者和中小机构。参考行业经验，活跃交易账户约占总账户数的20%-30%，即约4700万-7000万户。其中对量化分析工具有明确需求并愿意尝试新工具的用户，预计占活跃投资者的10%-20%，即约500万-1400万用户。</w:t>
      </w:r>
    </w:p>
    <w:p>
      <w:pPr>
        <w:spacing w:line="288" w:lineRule="auto" w:after="80"/>
        <w:ind w:firstLine="480"/>
      </w:pPr>
      <w:r>
        <w:rPr>
          <w:rFonts w:ascii="宋体" w:hAnsi="宋体" w:eastAsia="宋体"/>
          <w:sz w:val="24"/>
        </w:rPr>
        <w:t>可获得市场（SOM）：基于项目早期的资源限制和推广能力，前三年的目标是获取SAM市场中0.1%-0.5%的用户，即约5000-70000名注册用户。这一目标虽然在绝对规模上不大，但对于验证产品价值和商业模式已经足够。</w:t>
      </w:r>
    </w:p>
    <w:p>
      <w:pPr>
        <w:jc w:val="center"/>
      </w:pPr>
      <w:r>
        <w:drawing>
          <wp:inline xmlns:a="http://schemas.openxmlformats.org/drawingml/2006/main" xmlns:pic="http://schemas.openxmlformats.org/drawingml/2006/picture">
            <wp:extent cx="5040000" cy="279007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40000" cy="2790075"/>
                    </a:xfrm>
                    <a:prstGeom prst="rect"/>
                  </pic:spPr>
                </pic:pic>
              </a:graphicData>
            </a:graphic>
          </wp:inline>
        </w:drawing>
      </w:r>
    </w:p>
    <w:p>
      <w:pPr>
        <w:jc w:val="center"/>
      </w:pPr>
      <w:r>
        <w:rPr>
          <w:rFonts w:ascii="宋体" w:hAnsi="宋体" w:eastAsia="宋体"/>
          <w:i/>
          <w:color w:val="666666"/>
          <w:sz w:val="21"/>
        </w:rPr>
        <w:t>图3-3 中国城镇居民家庭资产配置结构变化  数据来源：中国人民银行调查统计司</w:t>
      </w:r>
    </w:p>
    <w:p>
      <w:pPr>
        <w:spacing w:before="240" w:after="120" w:line="288" w:lineRule="auto"/>
      </w:pPr>
      <w:r>
        <w:rPr>
          <w:rFonts w:ascii="宋体" w:hAnsi="宋体" w:eastAsia="宋体"/>
          <w:b/>
          <w:sz w:val="24"/>
        </w:rPr>
        <w:t>3.3 用户需求分析</w:t>
      </w:r>
    </w:p>
    <w:p>
      <w:pPr>
        <w:spacing w:line="288" w:lineRule="auto" w:after="80"/>
        <w:ind w:firstLine="480"/>
      </w:pPr>
      <w:r>
        <w:rPr>
          <w:rFonts w:ascii="宋体" w:hAnsi="宋体" w:eastAsia="宋体"/>
          <w:sz w:val="24"/>
        </w:rPr>
        <w:t>基于对个人投资者常见痛点的分析以及对雪球、东方财富股吧等投资者社区的公开讨论观察，个人投资者在投资分析过程中面临的主要问题可以归纳为以下几个方面：</w:t>
      </w:r>
    </w:p>
    <w:p>
      <w:pPr>
        <w:spacing w:line="288" w:lineRule="auto" w:after="80"/>
        <w:ind w:firstLine="480"/>
      </w:pPr>
      <w:r>
        <w:rPr>
          <w:rFonts w:ascii="宋体" w:hAnsi="宋体" w:eastAsia="宋体"/>
          <w:sz w:val="24"/>
        </w:rPr>
        <w:t>第一，选股效率低。A股市场有5300多家上市公司，一个普通投资者如果每天花10分钟研究一只公司，需要将近15年才能把所有公司看一遍。面对如此庞大的标的池，个人投资者迫切需要一种高效的方法来缩小关注范围，快速定位值得深入研究的标的。</w:t>
      </w:r>
    </w:p>
    <w:p>
      <w:pPr>
        <w:spacing w:line="288" w:lineRule="auto" w:after="80"/>
        <w:ind w:firstLine="480"/>
      </w:pPr>
      <w:r>
        <w:rPr>
          <w:rFonts w:ascii="宋体" w:hAnsi="宋体" w:eastAsia="宋体"/>
          <w:sz w:val="24"/>
        </w:rPr>
        <w:t>第二，财务分析门槛高。上市公司的财务报表包含利润表、资产负债表和现金流量表三大报表，涉及数十个财务指标。普通投资者往往缺乏系统的财务分析训练，面对ROE、毛利率、经营现金流、资产负债率等专业指标时难以做出综合判断。</w:t>
      </w:r>
    </w:p>
    <w:p>
      <w:pPr>
        <w:spacing w:line="288" w:lineRule="auto" w:after="80"/>
        <w:ind w:firstLine="480"/>
      </w:pPr>
      <w:r>
        <w:rPr>
          <w:rFonts w:ascii="宋体" w:hAnsi="宋体" w:eastAsia="宋体"/>
          <w:sz w:val="24"/>
        </w:rPr>
        <w:t>第三，估值判断困难。判断一只股票"贵不贵"需要综合考虑PE、PB、股息率等估值指标，并与历史水平和同行业公司进行横向纵向对比。这一过程对于大多数个人投资者来说既复杂又耗时。</w:t>
      </w:r>
    </w:p>
    <w:p>
      <w:pPr>
        <w:spacing w:line="288" w:lineRule="auto" w:after="80"/>
        <w:ind w:firstLine="480"/>
      </w:pPr>
      <w:r>
        <w:rPr>
          <w:rFonts w:ascii="宋体" w:hAnsi="宋体" w:eastAsia="宋体"/>
          <w:sz w:val="24"/>
        </w:rPr>
        <w:t>第四，缺乏策略验证手段。很多投资者有自己的选股思路，但苦于没有工具来验证这些思路在历史上的表现如何。策略回测——即用历史数据模拟某种选股策略的收益情况——是量化投资中最基本的分析方法，但目前市面上的回测工具要么操作复杂（如聚宽、米筐需要编写Python代码），要么价格昂贵（如Wind终端年费数万元）。</w:t>
      </w:r>
    </w:p>
    <w:p>
      <w:pPr>
        <w:spacing w:before="240" w:after="120" w:line="288" w:lineRule="auto"/>
      </w:pPr>
      <w:r>
        <w:rPr>
          <w:rFonts w:ascii="宋体" w:hAnsi="宋体" w:eastAsia="宋体"/>
          <w:b/>
          <w:sz w:val="24"/>
        </w:rPr>
        <w:t>3.4 竞争格局分析</w:t>
      </w:r>
    </w:p>
    <w:p>
      <w:pPr>
        <w:spacing w:line="288" w:lineRule="auto" w:after="80"/>
        <w:ind w:firstLine="480"/>
      </w:pPr>
      <w:r>
        <w:rPr>
          <w:rFonts w:ascii="宋体" w:hAnsi="宋体" w:eastAsia="宋体"/>
          <w:sz w:val="24"/>
        </w:rPr>
        <w:t>目前中国投资分析工具市场的主要参与者可以分为以下几类：</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1701"/>
            <w:shd w:fill="1A3C6E"/>
          </w:tcPr>
          <w:p>
            <w:pPr>
              <w:jc w:val="center"/>
            </w:pPr>
            <w:r/>
            <w:r>
              <w:rPr>
                <w:rFonts w:ascii="黑体" w:hAnsi="黑体" w:eastAsia="黑体"/>
                <w:b/>
                <w:color w:val="FFFFFF"/>
                <w:sz w:val="21"/>
              </w:rPr>
              <w:t>类型</w:t>
            </w:r>
          </w:p>
        </w:tc>
        <w:tc>
          <w:tcPr>
            <w:tcW w:type="dxa" w:w="2268"/>
            <w:shd w:fill="1A3C6E"/>
          </w:tcPr>
          <w:p>
            <w:pPr>
              <w:jc w:val="center"/>
            </w:pPr>
            <w:r/>
            <w:r>
              <w:rPr>
                <w:rFonts w:ascii="黑体" w:hAnsi="黑体" w:eastAsia="黑体"/>
                <w:b/>
                <w:color w:val="FFFFFF"/>
                <w:sz w:val="21"/>
              </w:rPr>
              <w:t>代表产品</w:t>
            </w:r>
          </w:p>
        </w:tc>
        <w:tc>
          <w:tcPr>
            <w:tcW w:type="dxa" w:w="1984"/>
            <w:shd w:fill="1A3C6E"/>
          </w:tcPr>
          <w:p>
            <w:pPr>
              <w:jc w:val="center"/>
            </w:pPr>
            <w:r/>
            <w:r>
              <w:rPr>
                <w:rFonts w:ascii="黑体" w:hAnsi="黑体" w:eastAsia="黑体"/>
                <w:b/>
                <w:color w:val="FFFFFF"/>
                <w:sz w:val="21"/>
              </w:rPr>
              <w:t>主要优势</w:t>
            </w:r>
          </w:p>
        </w:tc>
        <w:tc>
          <w:tcPr>
            <w:tcW w:type="dxa" w:w="1984"/>
            <w:shd w:fill="1A3C6E"/>
          </w:tcPr>
          <w:p>
            <w:pPr>
              <w:jc w:val="center"/>
            </w:pPr>
            <w:r/>
            <w:r>
              <w:rPr>
                <w:rFonts w:ascii="黑体" w:hAnsi="黑体" w:eastAsia="黑体"/>
                <w:b/>
                <w:color w:val="FFFFFF"/>
                <w:sz w:val="21"/>
              </w:rPr>
              <w:t>主要不足</w:t>
            </w:r>
          </w:p>
        </w:tc>
      </w:tr>
      <w:tr>
        <w:tc>
          <w:tcPr>
            <w:tcW w:type="dxa" w:w="1701"/>
            <w:shd w:fill="EBF0F7"/>
          </w:tcPr>
          <w:p>
            <w:pPr>
              <w:jc w:val="center"/>
            </w:pPr>
            <w:r/>
            <w:r>
              <w:rPr>
                <w:rFonts w:ascii="宋体" w:hAnsi="宋体" w:eastAsia="宋体"/>
                <w:sz w:val="21"/>
              </w:rPr>
              <w:t>传统金融终端</w:t>
            </w:r>
          </w:p>
        </w:tc>
        <w:tc>
          <w:tcPr>
            <w:tcW w:type="dxa" w:w="2268"/>
            <w:shd w:fill="EBF0F7"/>
          </w:tcPr>
          <w:p>
            <w:pPr>
              <w:jc w:val="center"/>
            </w:pPr>
            <w:r/>
            <w:r>
              <w:rPr>
                <w:rFonts w:ascii="宋体" w:hAnsi="宋体" w:eastAsia="宋体"/>
                <w:sz w:val="21"/>
              </w:rPr>
              <w:t>同花顺iFinD、东方财富Choice</w:t>
            </w:r>
          </w:p>
        </w:tc>
        <w:tc>
          <w:tcPr>
            <w:tcW w:type="dxa" w:w="1984"/>
            <w:shd w:fill="EBF0F7"/>
          </w:tcPr>
          <w:p>
            <w:pPr>
              <w:jc w:val="center"/>
            </w:pPr>
            <w:r/>
            <w:r>
              <w:rPr>
                <w:rFonts w:ascii="宋体" w:hAnsi="宋体" w:eastAsia="宋体"/>
                <w:sz w:val="21"/>
              </w:rPr>
              <w:t>数据全面、用户基数大</w:t>
            </w:r>
          </w:p>
        </w:tc>
        <w:tc>
          <w:tcPr>
            <w:tcW w:type="dxa" w:w="1984"/>
            <w:shd w:fill="EBF0F7"/>
          </w:tcPr>
          <w:p>
            <w:pPr>
              <w:jc w:val="center"/>
            </w:pPr>
            <w:r/>
            <w:r>
              <w:rPr>
                <w:rFonts w:ascii="宋体" w:hAnsi="宋体" w:eastAsia="宋体"/>
                <w:sz w:val="21"/>
              </w:rPr>
              <w:t>高级功能收费高、界面复杂</w:t>
            </w:r>
          </w:p>
        </w:tc>
      </w:tr>
      <w:tr>
        <w:tc>
          <w:tcPr>
            <w:tcW w:type="dxa" w:w="1701"/>
          </w:tcPr>
          <w:p>
            <w:pPr>
              <w:jc w:val="center"/>
            </w:pPr>
            <w:r/>
            <w:r>
              <w:rPr>
                <w:rFonts w:ascii="宋体" w:hAnsi="宋体" w:eastAsia="宋体"/>
                <w:sz w:val="21"/>
              </w:rPr>
              <w:t>量化编程平台</w:t>
            </w:r>
          </w:p>
        </w:tc>
        <w:tc>
          <w:tcPr>
            <w:tcW w:type="dxa" w:w="2268"/>
          </w:tcPr>
          <w:p>
            <w:pPr>
              <w:jc w:val="center"/>
            </w:pPr>
            <w:r/>
            <w:r>
              <w:rPr>
                <w:rFonts w:ascii="宋体" w:hAnsi="宋体" w:eastAsia="宋体"/>
                <w:sz w:val="21"/>
              </w:rPr>
              <w:t>聚宽JoinQuant、米筐RiceQuant</w:t>
            </w:r>
          </w:p>
        </w:tc>
        <w:tc>
          <w:tcPr>
            <w:tcW w:type="dxa" w:w="1984"/>
          </w:tcPr>
          <w:p>
            <w:pPr>
              <w:jc w:val="center"/>
            </w:pPr>
            <w:r/>
            <w:r>
              <w:rPr>
                <w:rFonts w:ascii="宋体" w:hAnsi="宋体" w:eastAsia="宋体"/>
                <w:sz w:val="21"/>
              </w:rPr>
              <w:t>回测功能强大、策略灵活</w:t>
            </w:r>
          </w:p>
        </w:tc>
        <w:tc>
          <w:tcPr>
            <w:tcW w:type="dxa" w:w="1984"/>
          </w:tcPr>
          <w:p>
            <w:pPr>
              <w:jc w:val="center"/>
            </w:pPr>
            <w:r/>
            <w:r>
              <w:rPr>
                <w:rFonts w:ascii="宋体" w:hAnsi="宋体" w:eastAsia="宋体"/>
                <w:sz w:val="21"/>
              </w:rPr>
              <w:t>需要编程基础、学习门槛高</w:t>
            </w:r>
          </w:p>
        </w:tc>
      </w:tr>
      <w:tr>
        <w:tc>
          <w:tcPr>
            <w:tcW w:type="dxa" w:w="1701"/>
            <w:shd w:fill="EBF0F7"/>
          </w:tcPr>
          <w:p>
            <w:pPr>
              <w:jc w:val="center"/>
            </w:pPr>
            <w:r/>
            <w:r>
              <w:rPr>
                <w:rFonts w:ascii="宋体" w:hAnsi="宋体" w:eastAsia="宋体"/>
                <w:sz w:val="21"/>
              </w:rPr>
              <w:t>智能选股工具</w:t>
            </w:r>
          </w:p>
        </w:tc>
        <w:tc>
          <w:tcPr>
            <w:tcW w:type="dxa" w:w="2268"/>
            <w:shd w:fill="EBF0F7"/>
          </w:tcPr>
          <w:p>
            <w:pPr>
              <w:jc w:val="center"/>
            </w:pPr>
            <w:r/>
            <w:r>
              <w:rPr>
                <w:rFonts w:ascii="宋体" w:hAnsi="宋体" w:eastAsia="宋体"/>
                <w:sz w:val="21"/>
              </w:rPr>
              <w:t>同花顺问财、选股宝</w:t>
            </w:r>
          </w:p>
        </w:tc>
        <w:tc>
          <w:tcPr>
            <w:tcW w:type="dxa" w:w="1984"/>
            <w:shd w:fill="EBF0F7"/>
          </w:tcPr>
          <w:p>
            <w:pPr>
              <w:jc w:val="center"/>
            </w:pPr>
            <w:r/>
            <w:r>
              <w:rPr>
                <w:rFonts w:ascii="宋体" w:hAnsi="宋体" w:eastAsia="宋体"/>
                <w:sz w:val="21"/>
              </w:rPr>
              <w:t>使用简单、响应快速</w:t>
            </w:r>
          </w:p>
        </w:tc>
        <w:tc>
          <w:tcPr>
            <w:tcW w:type="dxa" w:w="1984"/>
            <w:shd w:fill="EBF0F7"/>
          </w:tcPr>
          <w:p>
            <w:pPr>
              <w:jc w:val="center"/>
            </w:pPr>
            <w:r/>
            <w:r>
              <w:rPr>
                <w:rFonts w:ascii="宋体" w:hAnsi="宋体" w:eastAsia="宋体"/>
                <w:sz w:val="21"/>
              </w:rPr>
              <w:t>分析维度单一、深度不足</w:t>
            </w:r>
          </w:p>
        </w:tc>
      </w:tr>
      <w:tr>
        <w:tc>
          <w:tcPr>
            <w:tcW w:type="dxa" w:w="1701"/>
          </w:tcPr>
          <w:p>
            <w:pPr>
              <w:jc w:val="center"/>
            </w:pPr>
            <w:r/>
            <w:r>
              <w:rPr>
                <w:rFonts w:ascii="宋体" w:hAnsi="宋体" w:eastAsia="宋体"/>
                <w:sz w:val="21"/>
              </w:rPr>
              <w:t>海外平台</w:t>
            </w:r>
          </w:p>
        </w:tc>
        <w:tc>
          <w:tcPr>
            <w:tcW w:type="dxa" w:w="2268"/>
          </w:tcPr>
          <w:p>
            <w:pPr>
              <w:jc w:val="center"/>
            </w:pPr>
            <w:r/>
            <w:r>
              <w:rPr>
                <w:rFonts w:ascii="宋体" w:hAnsi="宋体" w:eastAsia="宋体"/>
                <w:sz w:val="21"/>
              </w:rPr>
              <w:t>TradingView、Bloomberg</w:t>
            </w:r>
          </w:p>
        </w:tc>
        <w:tc>
          <w:tcPr>
            <w:tcW w:type="dxa" w:w="1984"/>
          </w:tcPr>
          <w:p>
            <w:pPr>
              <w:jc w:val="center"/>
            </w:pPr>
            <w:r/>
            <w:r>
              <w:rPr>
                <w:rFonts w:ascii="宋体" w:hAnsi="宋体" w:eastAsia="宋体"/>
                <w:sz w:val="21"/>
              </w:rPr>
              <w:t>功能强大、国际化</w:t>
            </w:r>
          </w:p>
        </w:tc>
        <w:tc>
          <w:tcPr>
            <w:tcW w:type="dxa" w:w="1984"/>
          </w:tcPr>
          <w:p>
            <w:pPr>
              <w:jc w:val="center"/>
            </w:pPr>
            <w:r/>
            <w:r>
              <w:rPr>
                <w:rFonts w:ascii="宋体" w:hAnsi="宋体" w:eastAsia="宋体"/>
                <w:sz w:val="21"/>
              </w:rPr>
              <w:t>价格高、A股数据覆盖弱</w:t>
            </w:r>
          </w:p>
        </w:tc>
      </w:tr>
    </w:tbl>
    <w:p/>
    <w:p>
      <w:pPr>
        <w:spacing w:line="288" w:lineRule="auto" w:after="80"/>
        <w:ind w:firstLine="480"/>
      </w:pPr>
      <w:r>
        <w:rPr>
          <w:rFonts w:ascii="宋体" w:hAnsi="宋体" w:eastAsia="宋体"/>
          <w:sz w:val="24"/>
        </w:rPr>
        <w:t>融衔的竞争策略是聚焦于一个尚未被充分满足的细分需求：面向不会编程的个人投资者，提供比简单选股工具更深入、比量化编程平台更易用、比金融终端更便宜的中长线基本面选股分析工具。具体来说：</w:t>
      </w:r>
    </w:p>
    <w:p>
      <w:pPr>
        <w:spacing w:line="288" w:lineRule="auto" w:after="80"/>
        <w:ind w:firstLine="480"/>
      </w:pPr>
      <w:r>
        <w:rPr>
          <w:rFonts w:ascii="宋体" w:hAnsi="宋体" w:eastAsia="宋体"/>
          <w:sz w:val="24"/>
        </w:rPr>
        <w:t>相比同花顺等传统终端：融衔的基础功能完全免费，专业版年费（998元）仅为传统终端年费（数千至数万元）的十分之一甚至更低。同时，融衔的界面设计更加简洁，聚焦于选股分析这一核心场景，避免了传统终端功能过多导致的信息过载问题。</w:t>
      </w:r>
    </w:p>
    <w:p>
      <w:pPr>
        <w:spacing w:line="288" w:lineRule="auto" w:after="80"/>
        <w:ind w:firstLine="480"/>
      </w:pPr>
      <w:r>
        <w:rPr>
          <w:rFonts w:ascii="宋体" w:hAnsi="宋体" w:eastAsia="宋体"/>
          <w:sz w:val="24"/>
        </w:rPr>
        <w:t>相比聚宽等量化编程平台：融衔不需要用户编写任何代码，所有分析功能通过图形界面操作即可完成。虽然在策略灵活性上不如编程平台，但对于"选好股、拿住股"这一中长线投资需求来说已经足够。</w:t>
      </w:r>
    </w:p>
    <w:p>
      <w:pPr>
        <w:spacing w:line="288" w:lineRule="auto" w:after="80"/>
        <w:ind w:firstLine="480"/>
      </w:pPr>
      <w:r>
        <w:rPr>
          <w:rFonts w:ascii="宋体" w:hAnsi="宋体" w:eastAsia="宋体"/>
          <w:sz w:val="24"/>
        </w:rPr>
        <w:t>相比问财等简单选股工具：融衔提供了更完整的分析闭环——不仅能够选股，还能对选出的标的进行深度分析、回测验证和持续跟踪，帮助用户从"选出股票"到"理解为什么选这只股票"再到"验证选股逻辑是否有效"。</w:t>
      </w:r>
    </w:p>
    <w:p>
      <w:r>
        <w:br w:type="page"/>
      </w:r>
    </w:p>
    <w:p>
      <w:pPr>
        <w:spacing w:before="360" w:after="200" w:line="288" w:lineRule="auto"/>
      </w:pPr>
      <w:r>
        <w:rPr>
          <w:rFonts w:ascii="宋体" w:hAnsi="宋体" w:eastAsia="宋体"/>
          <w:b/>
          <w:color w:val="1A3C6E"/>
          <w:sz w:val="28"/>
        </w:rPr>
        <w:t>四、产品与服务</w:t>
      </w:r>
    </w:p>
    <w:p>
      <w:pPr>
        <w:spacing w:before="240" w:after="120" w:line="288" w:lineRule="auto"/>
      </w:pPr>
      <w:r>
        <w:rPr>
          <w:rFonts w:ascii="宋体" w:hAnsi="宋体" w:eastAsia="宋体"/>
          <w:b/>
          <w:sz w:val="24"/>
        </w:rPr>
        <w:t>4.1 产品概述与核心功能</w:t>
      </w:r>
    </w:p>
    <w:p>
      <w:pPr>
        <w:spacing w:line="288" w:lineRule="auto" w:after="80"/>
        <w:ind w:firstLine="480"/>
      </w:pPr>
      <w:r>
        <w:rPr>
          <w:rFonts w:ascii="宋体" w:hAnsi="宋体" w:eastAsia="宋体"/>
          <w:sz w:val="24"/>
        </w:rPr>
        <w:t>融衔平台是一个基于Web浏览器访问的投资分析辅助系统，用户无需安装任何客户端软件，通过浏览器即可使用所有功能。系统支持中文和英文两种语言界面。平台的核心功能模块如下：</w:t>
      </w:r>
    </w:p>
    <w:tbl>
      <w:tblPr>
        <w:tblStyle w:val="TableGrid"/>
        <w:tblW w:type="auto" w:w="0"/>
        <w:jc w:val="center"/>
        <w:tblLook w:firstColumn="1" w:firstRow="1" w:lastColumn="0" w:lastRow="0" w:noHBand="0" w:noVBand="1" w:val="04A0"/>
      </w:tblPr>
      <w:tblGrid>
        <w:gridCol w:w="2767"/>
        <w:gridCol w:w="2767"/>
        <w:gridCol w:w="2767"/>
      </w:tblGrid>
      <w:tr>
        <w:tc>
          <w:tcPr>
            <w:tcW w:type="dxa" w:w="1701"/>
            <w:shd w:fill="1A3C6E"/>
          </w:tcPr>
          <w:p>
            <w:pPr>
              <w:jc w:val="center"/>
            </w:pPr>
            <w:r/>
            <w:r>
              <w:rPr>
                <w:rFonts w:ascii="黑体" w:hAnsi="黑体" w:eastAsia="黑体"/>
                <w:b/>
                <w:color w:val="FFFFFF"/>
                <w:sz w:val="21"/>
              </w:rPr>
              <w:t>功能模块</w:t>
            </w:r>
          </w:p>
        </w:tc>
        <w:tc>
          <w:tcPr>
            <w:tcW w:type="dxa" w:w="3118"/>
            <w:shd w:fill="1A3C6E"/>
          </w:tcPr>
          <w:p>
            <w:pPr>
              <w:jc w:val="center"/>
            </w:pPr>
            <w:r/>
            <w:r>
              <w:rPr>
                <w:rFonts w:ascii="黑体" w:hAnsi="黑体" w:eastAsia="黑体"/>
                <w:b/>
                <w:color w:val="FFFFFF"/>
                <w:sz w:val="21"/>
              </w:rPr>
              <w:t>具体功能</w:t>
            </w:r>
          </w:p>
        </w:tc>
        <w:tc>
          <w:tcPr>
            <w:tcW w:type="dxa" w:w="2835"/>
            <w:shd w:fill="1A3C6E"/>
          </w:tcPr>
          <w:p>
            <w:pPr>
              <w:jc w:val="center"/>
            </w:pPr>
            <w:r/>
            <w:r>
              <w:rPr>
                <w:rFonts w:ascii="黑体" w:hAnsi="黑体" w:eastAsia="黑体"/>
                <w:b/>
                <w:color w:val="FFFFFF"/>
                <w:sz w:val="21"/>
              </w:rPr>
              <w:t>解决的问题</w:t>
            </w:r>
          </w:p>
        </w:tc>
      </w:tr>
      <w:tr>
        <w:tc>
          <w:tcPr>
            <w:tcW w:type="dxa" w:w="1701"/>
            <w:shd w:fill="EBF0F7"/>
          </w:tcPr>
          <w:p>
            <w:pPr>
              <w:jc w:val="center"/>
            </w:pPr>
            <w:r/>
            <w:r>
              <w:rPr>
                <w:rFonts w:ascii="宋体" w:hAnsi="宋体" w:eastAsia="宋体"/>
                <w:sz w:val="21"/>
              </w:rPr>
              <w:t>智能仪表盘</w:t>
            </w:r>
          </w:p>
        </w:tc>
        <w:tc>
          <w:tcPr>
            <w:tcW w:type="dxa" w:w="3118"/>
            <w:shd w:fill="EBF0F7"/>
          </w:tcPr>
          <w:p>
            <w:pPr>
              <w:jc w:val="center"/>
            </w:pPr>
            <w:r/>
            <w:r>
              <w:rPr>
                <w:rFonts w:ascii="宋体" w:hAnsi="宋体" w:eastAsia="宋体"/>
                <w:sz w:val="21"/>
              </w:rPr>
              <w:t>实时展示市场概况、自选股动态、信号分布统计、系统运行状态</w:t>
            </w:r>
          </w:p>
        </w:tc>
        <w:tc>
          <w:tcPr>
            <w:tcW w:type="dxa" w:w="2835"/>
            <w:shd w:fill="EBF0F7"/>
          </w:tcPr>
          <w:p>
            <w:pPr>
              <w:jc w:val="center"/>
            </w:pPr>
            <w:r/>
            <w:r>
              <w:rPr>
                <w:rFonts w:ascii="宋体" w:hAnsi="宋体" w:eastAsia="宋体"/>
                <w:sz w:val="21"/>
              </w:rPr>
              <w:t>让用户一目了然地掌握市场全局和自己关注的标的</w:t>
            </w:r>
          </w:p>
        </w:tc>
      </w:tr>
      <w:tr>
        <w:tc>
          <w:tcPr>
            <w:tcW w:type="dxa" w:w="1701"/>
          </w:tcPr>
          <w:p>
            <w:pPr>
              <w:jc w:val="center"/>
            </w:pPr>
            <w:r/>
            <w:r>
              <w:rPr>
                <w:rFonts w:ascii="宋体" w:hAnsi="宋体" w:eastAsia="宋体"/>
                <w:sz w:val="21"/>
              </w:rPr>
              <w:t>信号中心</w:t>
            </w:r>
          </w:p>
        </w:tc>
        <w:tc>
          <w:tcPr>
            <w:tcW w:type="dxa" w:w="3118"/>
          </w:tcPr>
          <w:p>
            <w:pPr>
              <w:jc w:val="center"/>
            </w:pPr>
            <w:r/>
            <w:r>
              <w:rPr>
                <w:rFonts w:ascii="宋体" w:hAnsi="宋体" w:eastAsia="宋体"/>
                <w:sz w:val="21"/>
              </w:rPr>
              <w:t>基于五维评分模型对全市场股票打分，生成BUY/ADD/WATCH/REDUCE/SELL五级信号</w:t>
            </w:r>
          </w:p>
        </w:tc>
        <w:tc>
          <w:tcPr>
            <w:tcW w:type="dxa" w:w="2835"/>
          </w:tcPr>
          <w:p>
            <w:pPr>
              <w:jc w:val="center"/>
            </w:pPr>
            <w:r/>
            <w:r>
              <w:rPr>
                <w:rFonts w:ascii="宋体" w:hAnsi="宋体" w:eastAsia="宋体"/>
                <w:sz w:val="21"/>
              </w:rPr>
              <w:t>替代人工逐只筛选，快速定位值得关注的标的</w:t>
            </w:r>
          </w:p>
        </w:tc>
      </w:tr>
      <w:tr>
        <w:tc>
          <w:tcPr>
            <w:tcW w:type="dxa" w:w="1701"/>
            <w:shd w:fill="EBF0F7"/>
          </w:tcPr>
          <w:p>
            <w:pPr>
              <w:jc w:val="center"/>
            </w:pPr>
            <w:r/>
            <w:r>
              <w:rPr>
                <w:rFonts w:ascii="宋体" w:hAnsi="宋体" w:eastAsia="宋体"/>
                <w:sz w:val="21"/>
              </w:rPr>
              <w:t>个股深度分析</w:t>
            </w:r>
          </w:p>
        </w:tc>
        <w:tc>
          <w:tcPr>
            <w:tcW w:type="dxa" w:w="3118"/>
            <w:shd w:fill="EBF0F7"/>
          </w:tcPr>
          <w:p>
            <w:pPr>
              <w:jc w:val="center"/>
            </w:pPr>
            <w:r/>
            <w:r>
              <w:rPr>
                <w:rFonts w:ascii="宋体" w:hAnsi="宋体" w:eastAsia="宋体"/>
                <w:sz w:val="21"/>
              </w:rPr>
              <w:t>展示单只股票的财务数据、估值水平、评分详情和历史信号变化</w:t>
            </w:r>
          </w:p>
        </w:tc>
        <w:tc>
          <w:tcPr>
            <w:tcW w:type="dxa" w:w="2835"/>
            <w:shd w:fill="EBF0F7"/>
          </w:tcPr>
          <w:p>
            <w:pPr>
              <w:jc w:val="center"/>
            </w:pPr>
            <w:r/>
            <w:r>
              <w:rPr>
                <w:rFonts w:ascii="宋体" w:hAnsi="宋体" w:eastAsia="宋体"/>
                <w:sz w:val="21"/>
              </w:rPr>
              <w:t>帮助用户深入理解一只股票的投资价值</w:t>
            </w:r>
          </w:p>
        </w:tc>
      </w:tr>
      <w:tr>
        <w:tc>
          <w:tcPr>
            <w:tcW w:type="dxa" w:w="1701"/>
          </w:tcPr>
          <w:p>
            <w:pPr>
              <w:jc w:val="center"/>
            </w:pPr>
            <w:r/>
            <w:r>
              <w:rPr>
                <w:rFonts w:ascii="宋体" w:hAnsi="宋体" w:eastAsia="宋体"/>
                <w:sz w:val="21"/>
              </w:rPr>
              <w:t>股票池管理</w:t>
            </w:r>
          </w:p>
        </w:tc>
        <w:tc>
          <w:tcPr>
            <w:tcW w:type="dxa" w:w="3118"/>
          </w:tcPr>
          <w:p>
            <w:pPr>
              <w:jc w:val="center"/>
            </w:pPr>
            <w:r/>
            <w:r>
              <w:rPr>
                <w:rFonts w:ascii="宋体" w:hAnsi="宋体" w:eastAsia="宋体"/>
                <w:sz w:val="21"/>
              </w:rPr>
              <w:t>预设蓝筹白马、高成长、高股息、行业龙头等8类股票池，支持自定义</w:t>
            </w:r>
          </w:p>
        </w:tc>
        <w:tc>
          <w:tcPr>
            <w:tcW w:type="dxa" w:w="2835"/>
          </w:tcPr>
          <w:p>
            <w:pPr>
              <w:jc w:val="center"/>
            </w:pPr>
            <w:r/>
            <w:r>
              <w:rPr>
                <w:rFonts w:ascii="宋体" w:hAnsi="宋体" w:eastAsia="宋体"/>
                <w:sz w:val="21"/>
              </w:rPr>
              <w:t>按投资风格分组管理关注标的</w:t>
            </w:r>
          </w:p>
        </w:tc>
      </w:tr>
      <w:tr>
        <w:tc>
          <w:tcPr>
            <w:tcW w:type="dxa" w:w="1701"/>
            <w:shd w:fill="EBF0F7"/>
          </w:tcPr>
          <w:p>
            <w:pPr>
              <w:jc w:val="center"/>
            </w:pPr>
            <w:r/>
            <w:r>
              <w:rPr>
                <w:rFonts w:ascii="宋体" w:hAnsi="宋体" w:eastAsia="宋体"/>
                <w:sz w:val="21"/>
              </w:rPr>
              <w:t>策略回测</w:t>
            </w:r>
          </w:p>
        </w:tc>
        <w:tc>
          <w:tcPr>
            <w:tcW w:type="dxa" w:w="3118"/>
            <w:shd w:fill="EBF0F7"/>
          </w:tcPr>
          <w:p>
            <w:pPr>
              <w:jc w:val="center"/>
            </w:pPr>
            <w:r/>
            <w:r>
              <w:rPr>
                <w:rFonts w:ascii="宋体" w:hAnsi="宋体" w:eastAsia="宋体"/>
                <w:sz w:val="21"/>
              </w:rPr>
              <w:t>设定选股阈值和持仓周期，基于历史数据模拟组合收益</w:t>
            </w:r>
          </w:p>
        </w:tc>
        <w:tc>
          <w:tcPr>
            <w:tcW w:type="dxa" w:w="2835"/>
            <w:shd w:fill="EBF0F7"/>
          </w:tcPr>
          <w:p>
            <w:pPr>
              <w:jc w:val="center"/>
            </w:pPr>
            <w:r/>
            <w:r>
              <w:rPr>
                <w:rFonts w:ascii="宋体" w:hAnsi="宋体" w:eastAsia="宋体"/>
                <w:sz w:val="21"/>
              </w:rPr>
              <w:t>验证选股逻辑在历史上是否有效</w:t>
            </w:r>
          </w:p>
        </w:tc>
      </w:tr>
      <w:tr>
        <w:tc>
          <w:tcPr>
            <w:tcW w:type="dxa" w:w="1701"/>
          </w:tcPr>
          <w:p>
            <w:pPr>
              <w:jc w:val="center"/>
            </w:pPr>
            <w:r/>
            <w:r>
              <w:rPr>
                <w:rFonts w:ascii="宋体" w:hAnsi="宋体" w:eastAsia="宋体"/>
                <w:sz w:val="21"/>
              </w:rPr>
              <w:t>风格化报告</w:t>
            </w:r>
          </w:p>
        </w:tc>
        <w:tc>
          <w:tcPr>
            <w:tcW w:type="dxa" w:w="3118"/>
          </w:tcPr>
          <w:p>
            <w:pPr>
              <w:jc w:val="center"/>
            </w:pPr>
            <w:r/>
            <w:r>
              <w:rPr>
                <w:rFonts w:ascii="宋体" w:hAnsi="宋体" w:eastAsia="宋体"/>
                <w:sz w:val="21"/>
              </w:rPr>
              <w:t>生成稳健型/进取型/保守型三种风格的投资策略报告</w:t>
            </w:r>
          </w:p>
        </w:tc>
        <w:tc>
          <w:tcPr>
            <w:tcW w:type="dxa" w:w="2835"/>
          </w:tcPr>
          <w:p>
            <w:pPr>
              <w:jc w:val="center"/>
            </w:pPr>
            <w:r/>
            <w:r>
              <w:rPr>
                <w:rFonts w:ascii="宋体" w:hAnsi="宋体" w:eastAsia="宋体"/>
                <w:sz w:val="21"/>
              </w:rPr>
              <w:t>为不同风险偏好的用户提供差异化建议</w:t>
            </w:r>
          </w:p>
        </w:tc>
      </w:tr>
      <w:tr>
        <w:tc>
          <w:tcPr>
            <w:tcW w:type="dxa" w:w="1701"/>
            <w:shd w:fill="EBF0F7"/>
          </w:tcPr>
          <w:p>
            <w:pPr>
              <w:jc w:val="center"/>
            </w:pPr>
            <w:r/>
            <w:r>
              <w:rPr>
                <w:rFonts w:ascii="宋体" w:hAnsi="宋体" w:eastAsia="宋体"/>
                <w:sz w:val="21"/>
              </w:rPr>
              <w:t>消息推送</w:t>
            </w:r>
          </w:p>
        </w:tc>
        <w:tc>
          <w:tcPr>
            <w:tcW w:type="dxa" w:w="3118"/>
            <w:shd w:fill="EBF0F7"/>
          </w:tcPr>
          <w:p>
            <w:pPr>
              <w:jc w:val="center"/>
            </w:pPr>
            <w:r/>
            <w:r>
              <w:rPr>
                <w:rFonts w:ascii="宋体" w:hAnsi="宋体" w:eastAsia="宋体"/>
                <w:sz w:val="21"/>
              </w:rPr>
              <w:t>通过QQ邮箱和飞书Webhook推送每日信号摘要和风险预警</w:t>
            </w:r>
          </w:p>
        </w:tc>
        <w:tc>
          <w:tcPr>
            <w:tcW w:type="dxa" w:w="2835"/>
            <w:shd w:fill="EBF0F7"/>
          </w:tcPr>
          <w:p>
            <w:pPr>
              <w:jc w:val="center"/>
            </w:pPr>
            <w:r/>
            <w:r>
              <w:rPr>
                <w:rFonts w:ascii="宋体" w:hAnsi="宋体" w:eastAsia="宋体"/>
                <w:sz w:val="21"/>
              </w:rPr>
              <w:t>确保用户不会错过关键信号变化</w:t>
            </w:r>
          </w:p>
        </w:tc>
      </w:tr>
      <w:tr>
        <w:tc>
          <w:tcPr>
            <w:tcW w:type="dxa" w:w="1701"/>
          </w:tcPr>
          <w:p>
            <w:pPr>
              <w:jc w:val="center"/>
            </w:pPr>
            <w:r/>
            <w:r>
              <w:rPr>
                <w:rFonts w:ascii="宋体" w:hAnsi="宋体" w:eastAsia="宋体"/>
                <w:sz w:val="21"/>
              </w:rPr>
              <w:t>后台管理</w:t>
            </w:r>
          </w:p>
        </w:tc>
        <w:tc>
          <w:tcPr>
            <w:tcW w:type="dxa" w:w="3118"/>
          </w:tcPr>
          <w:p>
            <w:pPr>
              <w:jc w:val="center"/>
            </w:pPr>
            <w:r/>
            <w:r>
              <w:rPr>
                <w:rFonts w:ascii="宋体" w:hAnsi="宋体" w:eastAsia="宋体"/>
                <w:sz w:val="21"/>
              </w:rPr>
              <w:t>用户管理、角色权限控制、API密钥管理</w:t>
            </w:r>
          </w:p>
        </w:tc>
        <w:tc>
          <w:tcPr>
            <w:tcW w:type="dxa" w:w="2835"/>
          </w:tcPr>
          <w:p>
            <w:pPr>
              <w:jc w:val="center"/>
            </w:pPr>
            <w:r/>
            <w:r>
              <w:rPr>
                <w:rFonts w:ascii="宋体" w:hAnsi="宋体" w:eastAsia="宋体"/>
                <w:sz w:val="21"/>
              </w:rPr>
              <w:t>支持多用户和团队使用场景</w:t>
            </w:r>
          </w:p>
        </w:tc>
      </w:tr>
    </w:tbl>
    <w:p/>
    <w:p>
      <w:pPr>
        <w:spacing w:before="240" w:after="120" w:line="288" w:lineRule="auto"/>
      </w:pPr>
      <w:r>
        <w:rPr>
          <w:rFonts w:ascii="宋体" w:hAnsi="宋体" w:eastAsia="宋体"/>
          <w:b/>
          <w:sz w:val="24"/>
        </w:rPr>
        <w:t>4.2 技术架构</w:t>
      </w:r>
    </w:p>
    <w:p>
      <w:pPr>
        <w:spacing w:line="288" w:lineRule="auto" w:after="80"/>
        <w:ind w:firstLine="480"/>
      </w:pPr>
      <w:r>
        <w:rPr>
          <w:rFonts w:ascii="宋体" w:hAnsi="宋体" w:eastAsia="宋体"/>
          <w:sz w:val="24"/>
        </w:rPr>
        <w:t>融衔平台采用前后端分离的现代化Web架构，技术选型遵循"成熟稳定、社区活跃、开发效率高"的原则。</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1417"/>
            <w:shd w:fill="1A3C6E"/>
          </w:tcPr>
          <w:p>
            <w:pPr>
              <w:jc w:val="center"/>
            </w:pPr>
            <w:r/>
            <w:r>
              <w:rPr>
                <w:rFonts w:ascii="黑体" w:hAnsi="黑体" w:eastAsia="黑体"/>
                <w:b/>
                <w:color w:val="FFFFFF"/>
                <w:sz w:val="21"/>
              </w:rPr>
              <w:t>层次</w:t>
            </w:r>
          </w:p>
        </w:tc>
        <w:tc>
          <w:tcPr>
            <w:tcW w:type="dxa" w:w="2268"/>
            <w:shd w:fill="1A3C6E"/>
          </w:tcPr>
          <w:p>
            <w:pPr>
              <w:jc w:val="center"/>
            </w:pPr>
            <w:r/>
            <w:r>
              <w:rPr>
                <w:rFonts w:ascii="黑体" w:hAnsi="黑体" w:eastAsia="黑体"/>
                <w:b/>
                <w:color w:val="FFFFFF"/>
                <w:sz w:val="21"/>
              </w:rPr>
              <w:t>技术</w:t>
            </w:r>
          </w:p>
        </w:tc>
        <w:tc>
          <w:tcPr>
            <w:tcW w:type="dxa" w:w="1134"/>
            <w:shd w:fill="1A3C6E"/>
          </w:tcPr>
          <w:p>
            <w:pPr>
              <w:jc w:val="center"/>
            </w:pPr>
            <w:r/>
            <w:r>
              <w:rPr>
                <w:rFonts w:ascii="黑体" w:hAnsi="黑体" w:eastAsia="黑体"/>
                <w:b/>
                <w:color w:val="FFFFFF"/>
                <w:sz w:val="21"/>
              </w:rPr>
              <w:t>版本</w:t>
            </w:r>
          </w:p>
        </w:tc>
        <w:tc>
          <w:tcPr>
            <w:tcW w:type="dxa" w:w="2835"/>
            <w:shd w:fill="1A3C6E"/>
          </w:tcPr>
          <w:p>
            <w:pPr>
              <w:jc w:val="center"/>
            </w:pPr>
            <w:r/>
            <w:r>
              <w:rPr>
                <w:rFonts w:ascii="黑体" w:hAnsi="黑体" w:eastAsia="黑体"/>
                <w:b/>
                <w:color w:val="FFFFFF"/>
                <w:sz w:val="21"/>
              </w:rPr>
              <w:t>选型理由</w:t>
            </w:r>
          </w:p>
        </w:tc>
      </w:tr>
      <w:tr>
        <w:tc>
          <w:tcPr>
            <w:tcW w:type="dxa" w:w="1417"/>
            <w:shd w:fill="EBF0F7"/>
          </w:tcPr>
          <w:p>
            <w:pPr>
              <w:jc w:val="center"/>
            </w:pPr>
            <w:r/>
            <w:r>
              <w:rPr>
                <w:rFonts w:ascii="宋体" w:hAnsi="宋体" w:eastAsia="宋体"/>
                <w:sz w:val="21"/>
              </w:rPr>
              <w:t>后端框架</w:t>
            </w:r>
          </w:p>
        </w:tc>
        <w:tc>
          <w:tcPr>
            <w:tcW w:type="dxa" w:w="2268"/>
            <w:shd w:fill="EBF0F7"/>
          </w:tcPr>
          <w:p>
            <w:pPr>
              <w:jc w:val="center"/>
            </w:pPr>
            <w:r/>
            <w:r>
              <w:rPr>
                <w:rFonts w:ascii="宋体" w:hAnsi="宋体" w:eastAsia="宋体"/>
                <w:sz w:val="21"/>
              </w:rPr>
              <w:t>FastAPI</w:t>
            </w:r>
          </w:p>
        </w:tc>
        <w:tc>
          <w:tcPr>
            <w:tcW w:type="dxa" w:w="1134"/>
            <w:shd w:fill="EBF0F7"/>
          </w:tcPr>
          <w:p>
            <w:pPr>
              <w:jc w:val="center"/>
            </w:pPr>
            <w:r/>
            <w:r>
              <w:rPr>
                <w:rFonts w:ascii="宋体" w:hAnsi="宋体" w:eastAsia="宋体"/>
                <w:sz w:val="21"/>
              </w:rPr>
              <w:t>0.115+</w:t>
            </w:r>
          </w:p>
        </w:tc>
        <w:tc>
          <w:tcPr>
            <w:tcW w:type="dxa" w:w="2835"/>
            <w:shd w:fill="EBF0F7"/>
          </w:tcPr>
          <w:p>
            <w:pPr>
              <w:jc w:val="center"/>
            </w:pPr>
            <w:r/>
            <w:r>
              <w:rPr>
                <w:rFonts w:ascii="宋体" w:hAnsi="宋体" w:eastAsia="宋体"/>
                <w:sz w:val="21"/>
              </w:rPr>
              <w:t>Python高性能异步Web框架，自动生成API文档</w:t>
            </w:r>
          </w:p>
        </w:tc>
      </w:tr>
      <w:tr>
        <w:tc>
          <w:tcPr>
            <w:tcW w:type="dxa" w:w="1417"/>
          </w:tcPr>
          <w:p>
            <w:pPr>
              <w:jc w:val="center"/>
            </w:pPr>
            <w:r/>
            <w:r>
              <w:rPr>
                <w:rFonts w:ascii="宋体" w:hAnsi="宋体" w:eastAsia="宋体"/>
                <w:sz w:val="21"/>
              </w:rPr>
              <w:t>数据库</w:t>
            </w:r>
          </w:p>
        </w:tc>
        <w:tc>
          <w:tcPr>
            <w:tcW w:type="dxa" w:w="2268"/>
          </w:tcPr>
          <w:p>
            <w:pPr>
              <w:jc w:val="center"/>
            </w:pPr>
            <w:r/>
            <w:r>
              <w:rPr>
                <w:rFonts w:ascii="宋体" w:hAnsi="宋体" w:eastAsia="宋体"/>
                <w:sz w:val="21"/>
              </w:rPr>
              <w:t>PostgreSQL / SQLite</w:t>
            </w:r>
          </w:p>
        </w:tc>
        <w:tc>
          <w:tcPr>
            <w:tcW w:type="dxa" w:w="1134"/>
          </w:tcPr>
          <w:p>
            <w:pPr>
              <w:jc w:val="center"/>
            </w:pPr>
            <w:r/>
            <w:r>
              <w:rPr>
                <w:rFonts w:ascii="宋体" w:hAnsi="宋体" w:eastAsia="宋体"/>
                <w:sz w:val="21"/>
              </w:rPr>
              <w:t>16 / 3.x</w:t>
            </w:r>
          </w:p>
        </w:tc>
        <w:tc>
          <w:tcPr>
            <w:tcW w:type="dxa" w:w="2835"/>
          </w:tcPr>
          <w:p>
            <w:pPr>
              <w:jc w:val="center"/>
            </w:pPr>
            <w:r/>
            <w:r>
              <w:rPr>
                <w:rFonts w:ascii="宋体" w:hAnsi="宋体" w:eastAsia="宋体"/>
                <w:sz w:val="21"/>
              </w:rPr>
              <w:t>PG用于生产环境高并发，SQLite用于本地开发零配置</w:t>
            </w:r>
          </w:p>
        </w:tc>
      </w:tr>
      <w:tr>
        <w:tc>
          <w:tcPr>
            <w:tcW w:type="dxa" w:w="1417"/>
            <w:shd w:fill="EBF0F7"/>
          </w:tcPr>
          <w:p>
            <w:pPr>
              <w:jc w:val="center"/>
            </w:pPr>
            <w:r/>
            <w:r>
              <w:rPr>
                <w:rFonts w:ascii="宋体" w:hAnsi="宋体" w:eastAsia="宋体"/>
                <w:sz w:val="21"/>
              </w:rPr>
              <w:t>ORM</w:t>
            </w:r>
          </w:p>
        </w:tc>
        <w:tc>
          <w:tcPr>
            <w:tcW w:type="dxa" w:w="2268"/>
            <w:shd w:fill="EBF0F7"/>
          </w:tcPr>
          <w:p>
            <w:pPr>
              <w:jc w:val="center"/>
            </w:pPr>
            <w:r/>
            <w:r>
              <w:rPr>
                <w:rFonts w:ascii="宋体" w:hAnsi="宋体" w:eastAsia="宋体"/>
                <w:sz w:val="21"/>
              </w:rPr>
              <w:t>SQLAlchemy</w:t>
            </w:r>
          </w:p>
        </w:tc>
        <w:tc>
          <w:tcPr>
            <w:tcW w:type="dxa" w:w="1134"/>
            <w:shd w:fill="EBF0F7"/>
          </w:tcPr>
          <w:p>
            <w:pPr>
              <w:jc w:val="center"/>
            </w:pPr>
            <w:r/>
            <w:r>
              <w:rPr>
                <w:rFonts w:ascii="宋体" w:hAnsi="宋体" w:eastAsia="宋体"/>
                <w:sz w:val="21"/>
              </w:rPr>
              <w:t>2.0+</w:t>
            </w:r>
          </w:p>
        </w:tc>
        <w:tc>
          <w:tcPr>
            <w:tcW w:type="dxa" w:w="2835"/>
            <w:shd w:fill="EBF0F7"/>
          </w:tcPr>
          <w:p>
            <w:pPr>
              <w:jc w:val="center"/>
            </w:pPr>
            <w:r/>
            <w:r>
              <w:rPr>
                <w:rFonts w:ascii="宋体" w:hAnsi="宋体" w:eastAsia="宋体"/>
                <w:sz w:val="21"/>
              </w:rPr>
              <w:t>Python生态最成熟的ORM，支持异步操作</w:t>
            </w:r>
          </w:p>
        </w:tc>
      </w:tr>
      <w:tr>
        <w:tc>
          <w:tcPr>
            <w:tcW w:type="dxa" w:w="1417"/>
          </w:tcPr>
          <w:p>
            <w:pPr>
              <w:jc w:val="center"/>
            </w:pPr>
            <w:r/>
            <w:r>
              <w:rPr>
                <w:rFonts w:ascii="宋体" w:hAnsi="宋体" w:eastAsia="宋体"/>
                <w:sz w:val="21"/>
              </w:rPr>
              <w:t>缓存</w:t>
            </w:r>
          </w:p>
        </w:tc>
        <w:tc>
          <w:tcPr>
            <w:tcW w:type="dxa" w:w="2268"/>
          </w:tcPr>
          <w:p>
            <w:pPr>
              <w:jc w:val="center"/>
            </w:pPr>
            <w:r/>
            <w:r>
              <w:rPr>
                <w:rFonts w:ascii="宋体" w:hAnsi="宋体" w:eastAsia="宋体"/>
                <w:sz w:val="21"/>
              </w:rPr>
              <w:t>Redis</w:t>
            </w:r>
          </w:p>
        </w:tc>
        <w:tc>
          <w:tcPr>
            <w:tcW w:type="dxa" w:w="1134"/>
          </w:tcPr>
          <w:p>
            <w:pPr>
              <w:jc w:val="center"/>
            </w:pPr>
            <w:r/>
            <w:r>
              <w:rPr>
                <w:rFonts w:ascii="宋体" w:hAnsi="宋体" w:eastAsia="宋体"/>
                <w:sz w:val="21"/>
              </w:rPr>
              <w:t>7.x+</w:t>
            </w:r>
          </w:p>
        </w:tc>
        <w:tc>
          <w:tcPr>
            <w:tcW w:type="dxa" w:w="2835"/>
          </w:tcPr>
          <w:p>
            <w:pPr>
              <w:jc w:val="center"/>
            </w:pPr>
            <w:r/>
            <w:r>
              <w:rPr>
                <w:rFonts w:ascii="宋体" w:hAnsi="宋体" w:eastAsia="宋体"/>
                <w:sz w:val="21"/>
              </w:rPr>
              <w:t>可选组件，缓存热点查询结果，提升响应速度</w:t>
            </w:r>
          </w:p>
        </w:tc>
      </w:tr>
      <w:tr>
        <w:tc>
          <w:tcPr>
            <w:tcW w:type="dxa" w:w="1417"/>
            <w:shd w:fill="EBF0F7"/>
          </w:tcPr>
          <w:p>
            <w:pPr>
              <w:jc w:val="center"/>
            </w:pPr>
            <w:r/>
            <w:r>
              <w:rPr>
                <w:rFonts w:ascii="宋体" w:hAnsi="宋体" w:eastAsia="宋体"/>
                <w:sz w:val="21"/>
              </w:rPr>
              <w:t>定时任务</w:t>
            </w:r>
          </w:p>
        </w:tc>
        <w:tc>
          <w:tcPr>
            <w:tcW w:type="dxa" w:w="2268"/>
            <w:shd w:fill="EBF0F7"/>
          </w:tcPr>
          <w:p>
            <w:pPr>
              <w:jc w:val="center"/>
            </w:pPr>
            <w:r/>
            <w:r>
              <w:rPr>
                <w:rFonts w:ascii="宋体" w:hAnsi="宋体" w:eastAsia="宋体"/>
                <w:sz w:val="21"/>
              </w:rPr>
              <w:t>APScheduler</w:t>
            </w:r>
          </w:p>
        </w:tc>
        <w:tc>
          <w:tcPr>
            <w:tcW w:type="dxa" w:w="1134"/>
            <w:shd w:fill="EBF0F7"/>
          </w:tcPr>
          <w:p>
            <w:pPr>
              <w:jc w:val="center"/>
            </w:pPr>
            <w:r/>
            <w:r>
              <w:rPr>
                <w:rFonts w:ascii="宋体" w:hAnsi="宋体" w:eastAsia="宋体"/>
                <w:sz w:val="21"/>
              </w:rPr>
              <w:t>3.10+</w:t>
            </w:r>
          </w:p>
        </w:tc>
        <w:tc>
          <w:tcPr>
            <w:tcW w:type="dxa" w:w="2835"/>
            <w:shd w:fill="EBF0F7"/>
          </w:tcPr>
          <w:p>
            <w:pPr>
              <w:jc w:val="center"/>
            </w:pPr>
            <w:r/>
            <w:r>
              <w:rPr>
                <w:rFonts w:ascii="宋体" w:hAnsi="宋体" w:eastAsia="宋体"/>
                <w:sz w:val="21"/>
              </w:rPr>
              <w:t>收盘后自动触发数据同步和信号更新</w:t>
            </w:r>
          </w:p>
        </w:tc>
      </w:tr>
      <w:tr>
        <w:tc>
          <w:tcPr>
            <w:tcW w:type="dxa" w:w="1417"/>
          </w:tcPr>
          <w:p>
            <w:pPr>
              <w:jc w:val="center"/>
            </w:pPr>
            <w:r/>
            <w:r>
              <w:rPr>
                <w:rFonts w:ascii="宋体" w:hAnsi="宋体" w:eastAsia="宋体"/>
                <w:sz w:val="21"/>
              </w:rPr>
              <w:t>前端框架</w:t>
            </w:r>
          </w:p>
        </w:tc>
        <w:tc>
          <w:tcPr>
            <w:tcW w:type="dxa" w:w="2268"/>
          </w:tcPr>
          <w:p>
            <w:pPr>
              <w:jc w:val="center"/>
            </w:pPr>
            <w:r/>
            <w:r>
              <w:rPr>
                <w:rFonts w:ascii="宋体" w:hAnsi="宋体" w:eastAsia="宋体"/>
                <w:sz w:val="21"/>
              </w:rPr>
              <w:t>Next.js + TypeScript</w:t>
            </w:r>
          </w:p>
        </w:tc>
        <w:tc>
          <w:tcPr>
            <w:tcW w:type="dxa" w:w="1134"/>
          </w:tcPr>
          <w:p>
            <w:pPr>
              <w:jc w:val="center"/>
            </w:pPr>
            <w:r/>
            <w:r>
              <w:rPr>
                <w:rFonts w:ascii="宋体" w:hAnsi="宋体" w:eastAsia="宋体"/>
                <w:sz w:val="21"/>
              </w:rPr>
              <w:t>14 / 5.0+</w:t>
            </w:r>
          </w:p>
        </w:tc>
        <w:tc>
          <w:tcPr>
            <w:tcW w:type="dxa" w:w="2835"/>
          </w:tcPr>
          <w:p>
            <w:pPr>
              <w:jc w:val="center"/>
            </w:pPr>
            <w:r/>
            <w:r>
              <w:rPr>
                <w:rFonts w:ascii="宋体" w:hAnsi="宋体" w:eastAsia="宋体"/>
                <w:sz w:val="21"/>
              </w:rPr>
              <w:t>支持SSR/SSG，类型安全，React生态丰富</w:t>
            </w:r>
          </w:p>
        </w:tc>
      </w:tr>
      <w:tr>
        <w:tc>
          <w:tcPr>
            <w:tcW w:type="dxa" w:w="1417"/>
            <w:shd w:fill="EBF0F7"/>
          </w:tcPr>
          <w:p>
            <w:pPr>
              <w:jc w:val="center"/>
            </w:pPr>
            <w:r/>
            <w:r>
              <w:rPr>
                <w:rFonts w:ascii="宋体" w:hAnsi="宋体" w:eastAsia="宋体"/>
                <w:sz w:val="21"/>
              </w:rPr>
              <w:t>UI样式</w:t>
            </w:r>
          </w:p>
        </w:tc>
        <w:tc>
          <w:tcPr>
            <w:tcW w:type="dxa" w:w="2268"/>
            <w:shd w:fill="EBF0F7"/>
          </w:tcPr>
          <w:p>
            <w:pPr>
              <w:jc w:val="center"/>
            </w:pPr>
            <w:r/>
            <w:r>
              <w:rPr>
                <w:rFonts w:ascii="宋体" w:hAnsi="宋体" w:eastAsia="宋体"/>
                <w:sz w:val="21"/>
              </w:rPr>
              <w:t>Tailwind CSS</w:t>
            </w:r>
          </w:p>
        </w:tc>
        <w:tc>
          <w:tcPr>
            <w:tcW w:type="dxa" w:w="1134"/>
            <w:shd w:fill="EBF0F7"/>
          </w:tcPr>
          <w:p>
            <w:pPr>
              <w:jc w:val="center"/>
            </w:pPr>
            <w:r/>
            <w:r>
              <w:rPr>
                <w:rFonts w:ascii="宋体" w:hAnsi="宋体" w:eastAsia="宋体"/>
                <w:sz w:val="21"/>
              </w:rPr>
              <w:t>3.x</w:t>
            </w:r>
          </w:p>
        </w:tc>
        <w:tc>
          <w:tcPr>
            <w:tcW w:type="dxa" w:w="2835"/>
            <w:shd w:fill="EBF0F7"/>
          </w:tcPr>
          <w:p>
            <w:pPr>
              <w:jc w:val="center"/>
            </w:pPr>
            <w:r/>
            <w:r>
              <w:rPr>
                <w:rFonts w:ascii="宋体" w:hAnsi="宋体" w:eastAsia="宋体"/>
                <w:sz w:val="21"/>
              </w:rPr>
              <w:t>实用优先的CSS框架，快速构建响应式界面</w:t>
            </w:r>
          </w:p>
        </w:tc>
      </w:tr>
      <w:tr>
        <w:tc>
          <w:tcPr>
            <w:tcW w:type="dxa" w:w="1417"/>
          </w:tcPr>
          <w:p>
            <w:pPr>
              <w:jc w:val="center"/>
            </w:pPr>
            <w:r/>
            <w:r>
              <w:rPr>
                <w:rFonts w:ascii="宋体" w:hAnsi="宋体" w:eastAsia="宋体"/>
                <w:sz w:val="21"/>
              </w:rPr>
              <w:t>图表库</w:t>
            </w:r>
          </w:p>
        </w:tc>
        <w:tc>
          <w:tcPr>
            <w:tcW w:type="dxa" w:w="2268"/>
          </w:tcPr>
          <w:p>
            <w:pPr>
              <w:jc w:val="center"/>
            </w:pPr>
            <w:r/>
            <w:r>
              <w:rPr>
                <w:rFonts w:ascii="宋体" w:hAnsi="宋体" w:eastAsia="宋体"/>
                <w:sz w:val="21"/>
              </w:rPr>
              <w:t>Recharts</w:t>
            </w:r>
          </w:p>
        </w:tc>
        <w:tc>
          <w:tcPr>
            <w:tcW w:type="dxa" w:w="1134"/>
          </w:tcPr>
          <w:p>
            <w:pPr>
              <w:jc w:val="center"/>
            </w:pPr>
            <w:r/>
            <w:r>
              <w:rPr>
                <w:rFonts w:ascii="宋体" w:hAnsi="宋体" w:eastAsia="宋体"/>
                <w:sz w:val="21"/>
              </w:rPr>
              <w:t>2.x</w:t>
            </w:r>
          </w:p>
        </w:tc>
        <w:tc>
          <w:tcPr>
            <w:tcW w:type="dxa" w:w="2835"/>
          </w:tcPr>
          <w:p>
            <w:pPr>
              <w:jc w:val="center"/>
            </w:pPr>
            <w:r/>
            <w:r>
              <w:rPr>
                <w:rFonts w:ascii="宋体" w:hAnsi="宋体" w:eastAsia="宋体"/>
                <w:sz w:val="21"/>
              </w:rPr>
              <w:t>React声明式图表组件，用于仪表盘可视化</w:t>
            </w:r>
          </w:p>
        </w:tc>
      </w:tr>
      <w:tr>
        <w:tc>
          <w:tcPr>
            <w:tcW w:type="dxa" w:w="1417"/>
            <w:shd w:fill="EBF0F7"/>
          </w:tcPr>
          <w:p>
            <w:pPr>
              <w:jc w:val="center"/>
            </w:pPr>
            <w:r/>
            <w:r>
              <w:rPr>
                <w:rFonts w:ascii="宋体" w:hAnsi="宋体" w:eastAsia="宋体"/>
                <w:sz w:val="21"/>
              </w:rPr>
              <w:t>数据源</w:t>
            </w:r>
          </w:p>
        </w:tc>
        <w:tc>
          <w:tcPr>
            <w:tcW w:type="dxa" w:w="2268"/>
            <w:shd w:fill="EBF0F7"/>
          </w:tcPr>
          <w:p>
            <w:pPr>
              <w:jc w:val="center"/>
            </w:pPr>
            <w:r/>
            <w:r>
              <w:rPr>
                <w:rFonts w:ascii="宋体" w:hAnsi="宋体" w:eastAsia="宋体"/>
                <w:sz w:val="21"/>
              </w:rPr>
              <w:t>AKShare / Yahoo Finance / 东方财富</w:t>
            </w:r>
          </w:p>
        </w:tc>
        <w:tc>
          <w:tcPr>
            <w:tcW w:type="dxa" w:w="1134"/>
            <w:shd w:fill="EBF0F7"/>
          </w:tcPr>
          <w:p>
            <w:pPr>
              <w:jc w:val="center"/>
            </w:pPr>
            <w:r/>
            <w:r>
              <w:rPr>
                <w:rFonts w:ascii="宋体" w:hAnsi="宋体" w:eastAsia="宋体"/>
                <w:sz w:val="21"/>
              </w:rPr>
              <w:t>—</w:t>
            </w:r>
          </w:p>
        </w:tc>
        <w:tc>
          <w:tcPr>
            <w:tcW w:type="dxa" w:w="2835"/>
            <w:shd w:fill="EBF0F7"/>
          </w:tcPr>
          <w:p>
            <w:pPr>
              <w:jc w:val="center"/>
            </w:pPr>
            <w:r/>
            <w:r>
              <w:rPr>
                <w:rFonts w:ascii="宋体" w:hAnsi="宋体" w:eastAsia="宋体"/>
                <w:sz w:val="21"/>
              </w:rPr>
              <w:t>三源冗余，主源不可用时自动切换备用源</w:t>
            </w:r>
          </w:p>
        </w:tc>
      </w:tr>
      <w:tr>
        <w:tc>
          <w:tcPr>
            <w:tcW w:type="dxa" w:w="1417"/>
          </w:tcPr>
          <w:p>
            <w:pPr>
              <w:jc w:val="center"/>
            </w:pPr>
            <w:r/>
            <w:r>
              <w:rPr>
                <w:rFonts w:ascii="宋体" w:hAnsi="宋体" w:eastAsia="宋体"/>
                <w:sz w:val="21"/>
              </w:rPr>
              <w:t>部署</w:t>
            </w:r>
          </w:p>
        </w:tc>
        <w:tc>
          <w:tcPr>
            <w:tcW w:type="dxa" w:w="2268"/>
          </w:tcPr>
          <w:p>
            <w:pPr>
              <w:jc w:val="center"/>
            </w:pPr>
            <w:r/>
            <w:r>
              <w:rPr>
                <w:rFonts w:ascii="宋体" w:hAnsi="宋体" w:eastAsia="宋体"/>
                <w:sz w:val="21"/>
              </w:rPr>
              <w:t>Docker Compose</w:t>
            </w:r>
          </w:p>
        </w:tc>
        <w:tc>
          <w:tcPr>
            <w:tcW w:type="dxa" w:w="1134"/>
          </w:tcPr>
          <w:p>
            <w:pPr>
              <w:jc w:val="center"/>
            </w:pPr>
            <w:r/>
            <w:r>
              <w:rPr>
                <w:rFonts w:ascii="宋体" w:hAnsi="宋体" w:eastAsia="宋体"/>
                <w:sz w:val="21"/>
              </w:rPr>
              <w:t>—</w:t>
            </w:r>
          </w:p>
        </w:tc>
        <w:tc>
          <w:tcPr>
            <w:tcW w:type="dxa" w:w="2835"/>
          </w:tcPr>
          <w:p>
            <w:pPr>
              <w:jc w:val="center"/>
            </w:pPr>
            <w:r/>
            <w:r>
              <w:rPr>
                <w:rFonts w:ascii="宋体" w:hAnsi="宋体" w:eastAsia="宋体"/>
                <w:sz w:val="21"/>
              </w:rPr>
              <w:t>容器化一键部署，环境一致性保障</w:t>
            </w:r>
          </w:p>
        </w:tc>
      </w:tr>
    </w:tbl>
    <w:p/>
    <w:p>
      <w:pPr>
        <w:spacing w:line="288" w:lineRule="auto" w:after="80"/>
        <w:ind w:firstLine="480"/>
      </w:pPr>
      <w:r>
        <w:rPr>
          <w:rFonts w:ascii="宋体" w:hAnsi="宋体" w:eastAsia="宋体"/>
          <w:sz w:val="24"/>
        </w:rPr>
        <w:t>在数据采集方面，系统采用"数据提供者"（Data Provider）设计模式，通过统一的接口抽象层屏蔽不同数据源的差异。AKShare作为主数据源提供A股和港股的行情、财务和公告数据；当AKShare因网络或接口调整暂时不可用时，系统自动切换到Yahoo Finance或东方财富的接口获取数据，确保数据服务的连续性。这种多源冗余的设计是融衔平台在技术层面的一个重要特点。</w:t>
      </w:r>
    </w:p>
    <w:p>
      <w:pPr>
        <w:spacing w:before="240" w:after="120" w:line="288" w:lineRule="auto"/>
      </w:pPr>
      <w:r>
        <w:rPr>
          <w:rFonts w:ascii="宋体" w:hAnsi="宋体" w:eastAsia="宋体"/>
          <w:b/>
          <w:sz w:val="24"/>
        </w:rPr>
        <w:t>4.3 五维评分选股模型</w:t>
      </w:r>
    </w:p>
    <w:p>
      <w:pPr>
        <w:spacing w:line="288" w:lineRule="auto" w:after="80"/>
        <w:ind w:firstLine="480"/>
      </w:pPr>
      <w:r>
        <w:rPr>
          <w:rFonts w:ascii="宋体" w:hAnsi="宋体" w:eastAsia="宋体"/>
          <w:sz w:val="24"/>
        </w:rPr>
        <w:t>五维评分模型是融衔平台最核心的分析引擎。该模型从五个维度对一只股票进行量化评估，满分100分，每个维度的权重和评分指标如下：</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850"/>
            <w:shd w:fill="1A3C6E"/>
          </w:tcPr>
          <w:p>
            <w:pPr>
              <w:jc w:val="center"/>
            </w:pPr>
            <w:r/>
            <w:r>
              <w:rPr>
                <w:rFonts w:ascii="黑体" w:hAnsi="黑体" w:eastAsia="黑体"/>
                <w:b/>
                <w:color w:val="FFFFFF"/>
                <w:sz w:val="21"/>
              </w:rPr>
              <w:t>维度</w:t>
            </w:r>
          </w:p>
        </w:tc>
        <w:tc>
          <w:tcPr>
            <w:tcW w:type="dxa" w:w="850"/>
            <w:shd w:fill="1A3C6E"/>
          </w:tcPr>
          <w:p>
            <w:pPr>
              <w:jc w:val="center"/>
            </w:pPr>
            <w:r/>
            <w:r>
              <w:rPr>
                <w:rFonts w:ascii="黑体" w:hAnsi="黑体" w:eastAsia="黑体"/>
                <w:b/>
                <w:color w:val="FFFFFF"/>
                <w:sz w:val="21"/>
              </w:rPr>
              <w:t>满分</w:t>
            </w:r>
          </w:p>
        </w:tc>
        <w:tc>
          <w:tcPr>
            <w:tcW w:type="dxa" w:w="2835"/>
            <w:shd w:fill="1A3C6E"/>
          </w:tcPr>
          <w:p>
            <w:pPr>
              <w:jc w:val="center"/>
            </w:pPr>
            <w:r/>
            <w:r>
              <w:rPr>
                <w:rFonts w:ascii="黑体" w:hAnsi="黑体" w:eastAsia="黑体"/>
                <w:b/>
                <w:color w:val="FFFFFF"/>
                <w:sz w:val="21"/>
              </w:rPr>
              <w:t>核心指标</w:t>
            </w:r>
          </w:p>
        </w:tc>
        <w:tc>
          <w:tcPr>
            <w:tcW w:type="dxa" w:w="3118"/>
            <w:shd w:fill="1A3C6E"/>
          </w:tcPr>
          <w:p>
            <w:pPr>
              <w:jc w:val="center"/>
            </w:pPr>
            <w:r/>
            <w:r>
              <w:rPr>
                <w:rFonts w:ascii="黑体" w:hAnsi="黑体" w:eastAsia="黑体"/>
                <w:b/>
                <w:color w:val="FFFFFF"/>
                <w:sz w:val="21"/>
              </w:rPr>
              <w:t>评分逻辑简述</w:t>
            </w:r>
          </w:p>
        </w:tc>
      </w:tr>
      <w:tr>
        <w:tc>
          <w:tcPr>
            <w:tcW w:type="dxa" w:w="850"/>
            <w:shd w:fill="EBF0F7"/>
          </w:tcPr>
          <w:p>
            <w:pPr>
              <w:jc w:val="center"/>
            </w:pPr>
            <w:r/>
            <w:r>
              <w:rPr>
                <w:rFonts w:ascii="宋体" w:hAnsi="宋体" w:eastAsia="宋体"/>
                <w:sz w:val="21"/>
              </w:rPr>
              <w:t>质量</w:t>
            </w:r>
          </w:p>
        </w:tc>
        <w:tc>
          <w:tcPr>
            <w:tcW w:type="dxa" w:w="850"/>
            <w:shd w:fill="EBF0F7"/>
          </w:tcPr>
          <w:p>
            <w:pPr>
              <w:jc w:val="center"/>
            </w:pPr>
            <w:r/>
            <w:r>
              <w:rPr>
                <w:rFonts w:ascii="宋体" w:hAnsi="宋体" w:eastAsia="宋体"/>
                <w:sz w:val="21"/>
              </w:rPr>
              <w:t>30分</w:t>
            </w:r>
          </w:p>
        </w:tc>
        <w:tc>
          <w:tcPr>
            <w:tcW w:type="dxa" w:w="2835"/>
            <w:shd w:fill="EBF0F7"/>
          </w:tcPr>
          <w:p>
            <w:pPr>
              <w:jc w:val="center"/>
            </w:pPr>
            <w:r/>
            <w:r>
              <w:rPr>
                <w:rFonts w:ascii="宋体" w:hAnsi="宋体" w:eastAsia="宋体"/>
                <w:sz w:val="21"/>
              </w:rPr>
              <w:t>ROE、经营现金流净额、毛利率、资产负债率</w:t>
            </w:r>
          </w:p>
        </w:tc>
        <w:tc>
          <w:tcPr>
            <w:tcW w:type="dxa" w:w="3118"/>
            <w:shd w:fill="EBF0F7"/>
          </w:tcPr>
          <w:p>
            <w:pPr>
              <w:jc w:val="center"/>
            </w:pPr>
            <w:r/>
            <w:r>
              <w:rPr>
                <w:rFonts w:ascii="宋体" w:hAnsi="宋体" w:eastAsia="宋体"/>
                <w:sz w:val="21"/>
              </w:rPr>
              <w:t>盈利能力强且稳定、现金流健康、负债水平合理得高分</w:t>
            </w:r>
          </w:p>
        </w:tc>
      </w:tr>
      <w:tr>
        <w:tc>
          <w:tcPr>
            <w:tcW w:type="dxa" w:w="850"/>
          </w:tcPr>
          <w:p>
            <w:pPr>
              <w:jc w:val="center"/>
            </w:pPr>
            <w:r/>
            <w:r>
              <w:rPr>
                <w:rFonts w:ascii="宋体" w:hAnsi="宋体" w:eastAsia="宋体"/>
                <w:sz w:val="21"/>
              </w:rPr>
              <w:t>估值</w:t>
            </w:r>
          </w:p>
        </w:tc>
        <w:tc>
          <w:tcPr>
            <w:tcW w:type="dxa" w:w="850"/>
          </w:tcPr>
          <w:p>
            <w:pPr>
              <w:jc w:val="center"/>
            </w:pPr>
            <w:r/>
            <w:r>
              <w:rPr>
                <w:rFonts w:ascii="宋体" w:hAnsi="宋体" w:eastAsia="宋体"/>
                <w:sz w:val="21"/>
              </w:rPr>
              <w:t>20分</w:t>
            </w:r>
          </w:p>
        </w:tc>
        <w:tc>
          <w:tcPr>
            <w:tcW w:type="dxa" w:w="2835"/>
          </w:tcPr>
          <w:p>
            <w:pPr>
              <w:jc w:val="center"/>
            </w:pPr>
            <w:r/>
            <w:r>
              <w:rPr>
                <w:rFonts w:ascii="宋体" w:hAnsi="宋体" w:eastAsia="宋体"/>
                <w:sz w:val="21"/>
              </w:rPr>
              <w:t>PE、PB、历史PE分位数、股息率</w:t>
            </w:r>
          </w:p>
        </w:tc>
        <w:tc>
          <w:tcPr>
            <w:tcW w:type="dxa" w:w="3118"/>
          </w:tcPr>
          <w:p>
            <w:pPr>
              <w:jc w:val="center"/>
            </w:pPr>
            <w:r/>
            <w:r>
              <w:rPr>
                <w:rFonts w:ascii="宋体" w:hAnsi="宋体" w:eastAsia="宋体"/>
                <w:sz w:val="21"/>
              </w:rPr>
              <w:t>当前估值低于自身历史中位数和行业均值得高分</w:t>
            </w:r>
          </w:p>
        </w:tc>
      </w:tr>
      <w:tr>
        <w:tc>
          <w:tcPr>
            <w:tcW w:type="dxa" w:w="850"/>
            <w:shd w:fill="EBF0F7"/>
          </w:tcPr>
          <w:p>
            <w:pPr>
              <w:jc w:val="center"/>
            </w:pPr>
            <w:r/>
            <w:r>
              <w:rPr>
                <w:rFonts w:ascii="宋体" w:hAnsi="宋体" w:eastAsia="宋体"/>
                <w:sz w:val="21"/>
              </w:rPr>
              <w:t>成长</w:t>
            </w:r>
          </w:p>
        </w:tc>
        <w:tc>
          <w:tcPr>
            <w:tcW w:type="dxa" w:w="850"/>
            <w:shd w:fill="EBF0F7"/>
          </w:tcPr>
          <w:p>
            <w:pPr>
              <w:jc w:val="center"/>
            </w:pPr>
            <w:r/>
            <w:r>
              <w:rPr>
                <w:rFonts w:ascii="宋体" w:hAnsi="宋体" w:eastAsia="宋体"/>
                <w:sz w:val="21"/>
              </w:rPr>
              <w:t>20分</w:t>
            </w:r>
          </w:p>
        </w:tc>
        <w:tc>
          <w:tcPr>
            <w:tcW w:type="dxa" w:w="2835"/>
            <w:shd w:fill="EBF0F7"/>
          </w:tcPr>
          <w:p>
            <w:pPr>
              <w:jc w:val="center"/>
            </w:pPr>
            <w:r/>
            <w:r>
              <w:rPr>
                <w:rFonts w:ascii="宋体" w:hAnsi="宋体" w:eastAsia="宋体"/>
                <w:sz w:val="21"/>
              </w:rPr>
              <w:t>营收同比增速、净利润同比增速、近3年复合增长率</w:t>
            </w:r>
          </w:p>
        </w:tc>
        <w:tc>
          <w:tcPr>
            <w:tcW w:type="dxa" w:w="3118"/>
            <w:shd w:fill="EBF0F7"/>
          </w:tcPr>
          <w:p>
            <w:pPr>
              <w:jc w:val="center"/>
            </w:pPr>
            <w:r/>
            <w:r>
              <w:rPr>
                <w:rFonts w:ascii="宋体" w:hAnsi="宋体" w:eastAsia="宋体"/>
                <w:sz w:val="21"/>
              </w:rPr>
              <w:t>增速高于行业平均且趋势持续得高分</w:t>
            </w:r>
          </w:p>
        </w:tc>
      </w:tr>
      <w:tr>
        <w:tc>
          <w:tcPr>
            <w:tcW w:type="dxa" w:w="850"/>
          </w:tcPr>
          <w:p>
            <w:pPr>
              <w:jc w:val="center"/>
            </w:pPr>
            <w:r/>
            <w:r>
              <w:rPr>
                <w:rFonts w:ascii="宋体" w:hAnsi="宋体" w:eastAsia="宋体"/>
                <w:sz w:val="21"/>
              </w:rPr>
              <w:t>趋势</w:t>
            </w:r>
          </w:p>
        </w:tc>
        <w:tc>
          <w:tcPr>
            <w:tcW w:type="dxa" w:w="850"/>
          </w:tcPr>
          <w:p>
            <w:pPr>
              <w:jc w:val="center"/>
            </w:pPr>
            <w:r/>
            <w:r>
              <w:rPr>
                <w:rFonts w:ascii="宋体" w:hAnsi="宋体" w:eastAsia="宋体"/>
                <w:sz w:val="21"/>
              </w:rPr>
              <w:t>20分</w:t>
            </w:r>
          </w:p>
        </w:tc>
        <w:tc>
          <w:tcPr>
            <w:tcW w:type="dxa" w:w="2835"/>
          </w:tcPr>
          <w:p>
            <w:pPr>
              <w:jc w:val="center"/>
            </w:pPr>
            <w:r/>
            <w:r>
              <w:rPr>
                <w:rFonts w:ascii="宋体" w:hAnsi="宋体" w:eastAsia="宋体"/>
                <w:sz w:val="21"/>
              </w:rPr>
              <w:t>股价相对MA60位置、MA60方向、MACD、量比</w:t>
            </w:r>
          </w:p>
        </w:tc>
        <w:tc>
          <w:tcPr>
            <w:tcW w:type="dxa" w:w="3118"/>
          </w:tcPr>
          <w:p>
            <w:pPr>
              <w:jc w:val="center"/>
            </w:pPr>
            <w:r/>
            <w:r>
              <w:rPr>
                <w:rFonts w:ascii="宋体" w:hAnsi="宋体" w:eastAsia="宋体"/>
                <w:sz w:val="21"/>
              </w:rPr>
              <w:t>价格在均线上方且趋势向上、成交量配合得高分</w:t>
            </w:r>
          </w:p>
        </w:tc>
      </w:tr>
      <w:tr>
        <w:tc>
          <w:tcPr>
            <w:tcW w:type="dxa" w:w="850"/>
            <w:shd w:fill="EBF0F7"/>
          </w:tcPr>
          <w:p>
            <w:pPr>
              <w:jc w:val="center"/>
            </w:pPr>
            <w:r/>
            <w:r>
              <w:rPr>
                <w:rFonts w:ascii="宋体" w:hAnsi="宋体" w:eastAsia="宋体"/>
                <w:sz w:val="21"/>
              </w:rPr>
              <w:t>风险</w:t>
            </w:r>
          </w:p>
        </w:tc>
        <w:tc>
          <w:tcPr>
            <w:tcW w:type="dxa" w:w="850"/>
            <w:shd w:fill="EBF0F7"/>
          </w:tcPr>
          <w:p>
            <w:pPr>
              <w:jc w:val="center"/>
            </w:pPr>
            <w:r/>
            <w:r>
              <w:rPr>
                <w:rFonts w:ascii="宋体" w:hAnsi="宋体" w:eastAsia="宋体"/>
                <w:sz w:val="21"/>
              </w:rPr>
              <w:t>10分</w:t>
            </w:r>
          </w:p>
        </w:tc>
        <w:tc>
          <w:tcPr>
            <w:tcW w:type="dxa" w:w="2835"/>
            <w:shd w:fill="EBF0F7"/>
          </w:tcPr>
          <w:p>
            <w:pPr>
              <w:jc w:val="center"/>
            </w:pPr>
            <w:r/>
            <w:r>
              <w:rPr>
                <w:rFonts w:ascii="宋体" w:hAnsi="宋体" w:eastAsia="宋体"/>
                <w:sz w:val="21"/>
              </w:rPr>
              <w:t>盈利波动性、负债/现金流比、估值偏离度</w:t>
            </w:r>
          </w:p>
        </w:tc>
        <w:tc>
          <w:tcPr>
            <w:tcW w:type="dxa" w:w="3118"/>
            <w:shd w:fill="EBF0F7"/>
          </w:tcPr>
          <w:p>
            <w:pPr>
              <w:jc w:val="center"/>
            </w:pPr>
            <w:r/>
            <w:r>
              <w:rPr>
                <w:rFonts w:ascii="宋体" w:hAnsi="宋体" w:eastAsia="宋体"/>
                <w:sz w:val="21"/>
              </w:rPr>
              <w:t>各项风险指标越低得高分（反向计分）</w:t>
            </w:r>
          </w:p>
        </w:tc>
      </w:tr>
    </w:tbl>
    <w:p/>
    <w:p>
      <w:pPr>
        <w:spacing w:line="288" w:lineRule="auto" w:after="80"/>
        <w:ind w:firstLine="480"/>
      </w:pPr>
      <w:r>
        <w:rPr>
          <w:rFonts w:ascii="宋体" w:hAnsi="宋体" w:eastAsia="宋体"/>
          <w:sz w:val="24"/>
        </w:rPr>
        <w:t>根据综合评分，系统自动生成五级投资信号：BUY（≥85分）表示基本面优秀、估值合理、趋势向好，可考虑建仓或加仓；ADD（75-84分）表示基本面良好，已有仓位可适当加仓；WATCH（65-74分）表示基本面一般，需等待更好时机，保持关注；REDUCE（50-64分）表示基本面走弱或估值偏高，已有仓位应考虑减仓；SELL（&lt;50分）表示基本面恶化或风险积聚，建议清仓。</w:t>
      </w:r>
    </w:p>
    <w:p>
      <w:pPr>
        <w:spacing w:line="288" w:lineRule="auto" w:after="80"/>
        <w:ind w:firstLine="480"/>
      </w:pPr>
      <w:r>
        <w:rPr>
          <w:rFonts w:ascii="宋体" w:hAnsi="宋体" w:eastAsia="宋体"/>
          <w:sz w:val="24"/>
        </w:rPr>
        <w:t>需要特别说明的是，五维评分模型的评分逻辑是基于基本面分析的中长线视角，不涉及短线技术分析和量化交易策略。评分结果仅供研究参考，不构成买卖建议。投资者在做出实际投资决策时，还需要结合自身的风险承受能力、资金状况和投资目标进行综合判断。</w:t>
      </w:r>
    </w:p>
    <w:p>
      <w:pPr>
        <w:jc w:val="center"/>
      </w:pPr>
      <w:r>
        <w:drawing>
          <wp:inline xmlns:a="http://schemas.openxmlformats.org/drawingml/2006/main" xmlns:pic="http://schemas.openxmlformats.org/drawingml/2006/picture">
            <wp:extent cx="4320000" cy="365042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20000" cy="3650425"/>
                    </a:xfrm>
                    <a:prstGeom prst="rect"/>
                  </pic:spPr>
                </pic:pic>
              </a:graphicData>
            </a:graphic>
          </wp:inline>
        </w:drawing>
      </w:r>
    </w:p>
    <w:p>
      <w:pPr>
        <w:jc w:val="center"/>
      </w:pPr>
      <w:r>
        <w:rPr>
          <w:rFonts w:ascii="宋体" w:hAnsi="宋体" w:eastAsia="宋体"/>
          <w:i/>
          <w:color w:val="666666"/>
          <w:sz w:val="21"/>
        </w:rPr>
        <w:t>图4-1 五维评分模型——个股对比示例（股票A：85分/BUY vs 股票B：73分/WATCH）</w:t>
      </w:r>
    </w:p>
    <w:p>
      <w:pPr>
        <w:spacing w:before="240" w:after="120" w:line="288" w:lineRule="auto"/>
      </w:pPr>
      <w:r>
        <w:rPr>
          <w:rFonts w:ascii="宋体" w:hAnsi="宋体" w:eastAsia="宋体"/>
          <w:b/>
          <w:sz w:val="24"/>
        </w:rPr>
        <w:t>4.4 策略回测引擎</w:t>
      </w:r>
    </w:p>
    <w:p>
      <w:pPr>
        <w:spacing w:line="288" w:lineRule="auto" w:after="80"/>
        <w:ind w:firstLine="480"/>
      </w:pPr>
      <w:r>
        <w:rPr>
          <w:rFonts w:ascii="宋体" w:hAnsi="宋体" w:eastAsia="宋体"/>
          <w:sz w:val="24"/>
        </w:rPr>
        <w:t>策略回测是融衔平台的另一核心功能。回测的基本逻辑是：用户设定选股条件（如评分≥65分）和持仓周期（如每月调仓一次），系统基于真实的历史价格数据，模拟按此策略构建的投资组合在过去一段时间内的收益表现。</w:t>
      </w:r>
    </w:p>
    <w:p>
      <w:pPr>
        <w:spacing w:line="288" w:lineRule="auto" w:after="80"/>
        <w:ind w:firstLine="480"/>
      </w:pPr>
      <w:r>
        <w:rPr>
          <w:rFonts w:ascii="宋体" w:hAnsi="宋体" w:eastAsia="宋体"/>
          <w:sz w:val="24"/>
        </w:rPr>
        <w:t>回测引擎计算的核心指标包括：总收益率——回测期间组合的累计收益；年化收益率——将总收益率折算为年度收益；超额收益——组合收益减去同期基准指数（默认沪深300）的收益；最大回撤——组合净值从峰值到谷底的最大跌幅，衡量最坏情况下的损失；夏普比率——每承受一单位风险获得的超额收益，越高说明风险调整后收益越好；胜率——盈利月份占总月份的比例。</w:t>
      </w:r>
    </w:p>
    <w:p>
      <w:pPr>
        <w:spacing w:line="288" w:lineRule="auto" w:after="80"/>
        <w:ind w:firstLine="480"/>
      </w:pPr>
      <w:r>
        <w:rPr>
          <w:rFonts w:ascii="宋体" w:hAnsi="宋体" w:eastAsia="宋体"/>
          <w:sz w:val="24"/>
        </w:rPr>
        <w:t>以下是一个回测示例：以"评分≥65分的股票等权持有、每月初调仓"为策略，在2024年1月至2026年3月的回测期内，模拟组合的累计收益约为42.8%，同期沪深300指数的累计收益约为18.2%，超额收益约为24.6个百分点。这一结果说明五维评分模型在历史回测中展现了一定的选股超额收益能力，但需要注意的是，历史回测结果不代表未来收益，实际投资中还会面临交易成本、滑点、流动性等回测中未考虑的因素。</w:t>
      </w:r>
    </w:p>
    <w:p>
      <w:pPr>
        <w:jc w:val="center"/>
      </w:pPr>
      <w:r>
        <w:drawing>
          <wp:inline xmlns:a="http://schemas.openxmlformats.org/drawingml/2006/main" xmlns:pic="http://schemas.openxmlformats.org/drawingml/2006/picture">
            <wp:extent cx="5040000" cy="280708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40000" cy="2807089"/>
                    </a:xfrm>
                    <a:prstGeom prst="rect"/>
                  </pic:spPr>
                </pic:pic>
              </a:graphicData>
            </a:graphic>
          </wp:inline>
        </w:drawing>
      </w:r>
    </w:p>
    <w:p>
      <w:pPr>
        <w:jc w:val="center"/>
      </w:pPr>
      <w:r>
        <w:rPr>
          <w:rFonts w:ascii="宋体" w:hAnsi="宋体" w:eastAsia="宋体"/>
          <w:i/>
          <w:color w:val="666666"/>
          <w:sz w:val="21"/>
        </w:rPr>
        <w:t>图4-2 螱衔选股组合 vs 沪深300指数回测曲线（2024.1-2026.3）  注：历史回测不代表未来收益</w:t>
      </w:r>
    </w:p>
    <w:p>
      <w:pPr>
        <w:spacing w:before="240" w:after="120" w:line="288" w:lineRule="auto"/>
      </w:pPr>
      <w:r>
        <w:rPr>
          <w:rFonts w:ascii="宋体" w:hAnsi="宋体" w:eastAsia="宋体"/>
          <w:b/>
          <w:sz w:val="24"/>
        </w:rPr>
        <w:t>4.5 产品差异化优势</w:t>
      </w:r>
    </w:p>
    <w:p>
      <w:pPr>
        <w:spacing w:line="288" w:lineRule="auto" w:after="80"/>
        <w:ind w:firstLine="480"/>
      </w:pPr>
      <w:r>
        <w:rPr>
          <w:rFonts w:ascii="宋体" w:hAnsi="宋体" w:eastAsia="宋体"/>
          <w:sz w:val="24"/>
        </w:rPr>
        <w:t>综合以上分析，融衔平台与市场现有产品相比的核心差异化优势可以概括为以下几点：</w:t>
      </w:r>
    </w:p>
    <w:p>
      <w:pPr>
        <w:spacing w:line="288" w:lineRule="auto" w:after="80"/>
        <w:ind w:firstLine="480"/>
      </w:pPr>
      <w:r>
        <w:rPr>
          <w:rFonts w:ascii="宋体" w:hAnsi="宋体" w:eastAsia="宋体"/>
          <w:sz w:val="24"/>
        </w:rPr>
        <w:t>（1）开源免费，使用门槛低。融衔采用MIT开源协议，核心代码完全公开在GitHub上，基础功能永久免费使用。用户无需支付数千至数万元的年费，也无需具备编程基础，通过浏览器即可使用全部分析功能。对于想要体验量化分析方法但预算有限的个人投资者来说，融衔提供了一个零成本的入门选择。</w:t>
      </w:r>
    </w:p>
    <w:p>
      <w:pPr>
        <w:spacing w:line="288" w:lineRule="auto" w:after="80"/>
        <w:ind w:firstLine="480"/>
      </w:pPr>
      <w:r>
        <w:rPr>
          <w:rFonts w:ascii="宋体" w:hAnsi="宋体" w:eastAsia="宋体"/>
          <w:sz w:val="24"/>
        </w:rPr>
        <w:t>（2）专注中长线基本面选股。与市场上大多数侧重短线技术分析的工具不同，融衔的分析视角是中长线的基本面分析——关注公司的盈利能力、估值水平、成长趋势等内在价值因素，而非短期的价格波动和量价关系。这一定位与价值投资和长期投资的理念更为契合。</w:t>
      </w:r>
    </w:p>
    <w:p>
      <w:pPr>
        <w:spacing w:line="288" w:lineRule="auto" w:after="80"/>
        <w:ind w:firstLine="480"/>
      </w:pPr>
      <w:r>
        <w:rPr>
          <w:rFonts w:ascii="宋体" w:hAnsi="宋体" w:eastAsia="宋体"/>
          <w:sz w:val="24"/>
        </w:rPr>
        <w:t>（3）一体化分析闭环。从数据采集到量化评分，从信号生成到策略回测，从报告输出到消息推送，融衔在一个平台内覆盖了投资分析的完整流程。用户无需在行情软件、Excel表格、量化平台等多个工具之间来回切换，大大提升了分析效率。</w:t>
      </w:r>
    </w:p>
    <w:p>
      <w:pPr>
        <w:spacing w:line="288" w:lineRule="auto" w:after="80"/>
        <w:ind w:firstLine="480"/>
      </w:pPr>
      <w:r>
        <w:rPr>
          <w:rFonts w:ascii="宋体" w:hAnsi="宋体" w:eastAsia="宋体"/>
          <w:sz w:val="24"/>
        </w:rPr>
        <w:t>（4）多数据源冗余保障。平台同时接入AKShare、Yahoo Finance和东方财富三个数据源，当主数据源出现问题时自动切换备用源，确保数据服务不中断。这种设计在同类开源项目中较为少见，是融衔在技术可靠性方面的一个重要优势。</w:t>
      </w:r>
    </w:p>
    <w:p>
      <w:r>
        <w:br w:type="page"/>
      </w:r>
    </w:p>
    <w:p>
      <w:pPr>
        <w:spacing w:before="360" w:after="200" w:line="288" w:lineRule="auto"/>
      </w:pPr>
      <w:r>
        <w:rPr>
          <w:rFonts w:ascii="宋体" w:hAnsi="宋体" w:eastAsia="宋体"/>
          <w:b/>
          <w:color w:val="1A3C6E"/>
          <w:sz w:val="28"/>
        </w:rPr>
        <w:t>五、商业模式</w:t>
      </w:r>
    </w:p>
    <w:p>
      <w:pPr>
        <w:spacing w:before="240" w:after="120" w:line="288" w:lineRule="auto"/>
      </w:pPr>
      <w:r>
        <w:rPr>
          <w:rFonts w:ascii="宋体" w:hAnsi="宋体" w:eastAsia="宋体"/>
          <w:b/>
          <w:sz w:val="24"/>
        </w:rPr>
        <w:t>5.1 盈利模式</w:t>
      </w:r>
    </w:p>
    <w:p>
      <w:pPr>
        <w:spacing w:line="288" w:lineRule="auto" w:after="80"/>
        <w:ind w:firstLine="480"/>
      </w:pPr>
      <w:r>
        <w:rPr>
          <w:rFonts w:ascii="宋体" w:hAnsi="宋体" w:eastAsia="宋体"/>
          <w:sz w:val="24"/>
        </w:rPr>
        <w:t>融衔采用"基础免费+增值服务"的SaaS（软件即服务）商业模式，通过功能分层实现用户增长与商业变现的平衡。具体收入来源包括以下四个方面：</w:t>
      </w:r>
    </w:p>
    <w:tbl>
      <w:tblPr>
        <w:tblStyle w:val="TableGrid"/>
        <w:tblW w:type="auto" w:w="0"/>
        <w:jc w:val="center"/>
        <w:tblLook w:firstColumn="1" w:firstRow="1" w:lastColumn="0" w:lastRow="0" w:noHBand="0" w:noVBand="1" w:val="04A0"/>
      </w:tblPr>
      <w:tblGrid>
        <w:gridCol w:w="2767"/>
        <w:gridCol w:w="2767"/>
        <w:gridCol w:w="2767"/>
      </w:tblGrid>
      <w:tr>
        <w:tc>
          <w:tcPr>
            <w:tcW w:type="dxa" w:w="1701"/>
            <w:shd w:fill="1A3C6E"/>
          </w:tcPr>
          <w:p>
            <w:pPr>
              <w:jc w:val="center"/>
            </w:pPr>
            <w:r/>
            <w:r>
              <w:rPr>
                <w:rFonts w:ascii="黑体" w:hAnsi="黑体" w:eastAsia="黑体"/>
                <w:b/>
                <w:color w:val="FFFFFF"/>
                <w:sz w:val="21"/>
              </w:rPr>
              <w:t>收入来源</w:t>
            </w:r>
          </w:p>
        </w:tc>
        <w:tc>
          <w:tcPr>
            <w:tcW w:type="dxa" w:w="3402"/>
            <w:shd w:fill="1A3C6E"/>
          </w:tcPr>
          <w:p>
            <w:pPr>
              <w:jc w:val="center"/>
            </w:pPr>
            <w:r/>
            <w:r>
              <w:rPr>
                <w:rFonts w:ascii="黑体" w:hAnsi="黑体" w:eastAsia="黑体"/>
                <w:b/>
                <w:color w:val="FFFFFF"/>
                <w:sz w:val="21"/>
              </w:rPr>
              <w:t>服务内容</w:t>
            </w:r>
          </w:p>
        </w:tc>
        <w:tc>
          <w:tcPr>
            <w:tcW w:type="dxa" w:w="1984"/>
            <w:shd w:fill="1A3C6E"/>
          </w:tcPr>
          <w:p>
            <w:pPr>
              <w:jc w:val="center"/>
            </w:pPr>
            <w:r/>
            <w:r>
              <w:rPr>
                <w:rFonts w:ascii="黑体" w:hAnsi="黑体" w:eastAsia="黑体"/>
                <w:b/>
                <w:color w:val="FFFFFF"/>
                <w:sz w:val="21"/>
              </w:rPr>
              <w:t>参考定价</w:t>
            </w:r>
          </w:p>
        </w:tc>
      </w:tr>
      <w:tr>
        <w:tc>
          <w:tcPr>
            <w:tcW w:type="dxa" w:w="1701"/>
            <w:shd w:fill="EBF0F7"/>
          </w:tcPr>
          <w:p>
            <w:pPr>
              <w:jc w:val="center"/>
            </w:pPr>
            <w:r/>
            <w:r>
              <w:rPr>
                <w:rFonts w:ascii="宋体" w:hAnsi="宋体" w:eastAsia="宋体"/>
                <w:sz w:val="21"/>
              </w:rPr>
              <w:t>订阅服务</w:t>
            </w:r>
          </w:p>
        </w:tc>
        <w:tc>
          <w:tcPr>
            <w:tcW w:type="dxa" w:w="3402"/>
            <w:shd w:fill="EBF0F7"/>
          </w:tcPr>
          <w:p>
            <w:pPr>
              <w:jc w:val="center"/>
            </w:pPr>
            <w:r/>
            <w:r>
              <w:rPr>
                <w:rFonts w:ascii="宋体" w:hAnsi="宋体" w:eastAsia="宋体"/>
                <w:sz w:val="21"/>
              </w:rPr>
              <w:t>专业版月度/年度订阅，解锁无限选股信号、深度个股分析、策略回测、风格化报告等高级功能</w:t>
            </w:r>
          </w:p>
        </w:tc>
        <w:tc>
          <w:tcPr>
            <w:tcW w:type="dxa" w:w="1984"/>
            <w:shd w:fill="EBF0F7"/>
          </w:tcPr>
          <w:p>
            <w:pPr>
              <w:jc w:val="center"/>
            </w:pPr>
            <w:r/>
            <w:r>
              <w:rPr>
                <w:rFonts w:ascii="宋体" w:hAnsi="宋体" w:eastAsia="宋体"/>
                <w:sz w:val="21"/>
              </w:rPr>
              <w:t>98元/月 或 998元/年</w:t>
            </w:r>
          </w:p>
        </w:tc>
      </w:tr>
      <w:tr>
        <w:tc>
          <w:tcPr>
            <w:tcW w:type="dxa" w:w="1701"/>
          </w:tcPr>
          <w:p>
            <w:pPr>
              <w:jc w:val="center"/>
            </w:pPr>
            <w:r/>
            <w:r>
              <w:rPr>
                <w:rFonts w:ascii="宋体" w:hAnsi="宋体" w:eastAsia="宋体"/>
                <w:sz w:val="21"/>
              </w:rPr>
              <w:t>API数据服务</w:t>
            </w:r>
          </w:p>
        </w:tc>
        <w:tc>
          <w:tcPr>
            <w:tcW w:type="dxa" w:w="3402"/>
          </w:tcPr>
          <w:p>
            <w:pPr>
              <w:jc w:val="center"/>
            </w:pPr>
            <w:r/>
            <w:r>
              <w:rPr>
                <w:rFonts w:ascii="宋体" w:hAnsi="宋体" w:eastAsia="宋体"/>
                <w:sz w:val="21"/>
              </w:rPr>
              <w:t>面向量化团队和机构用户开放数据接口，提供标准化的评分数据和信号数据</w:t>
            </w:r>
          </w:p>
        </w:tc>
        <w:tc>
          <w:tcPr>
            <w:tcW w:type="dxa" w:w="1984"/>
          </w:tcPr>
          <w:p>
            <w:pPr>
              <w:jc w:val="center"/>
            </w:pPr>
            <w:r/>
            <w:r>
              <w:rPr>
                <w:rFonts w:ascii="宋体" w:hAnsi="宋体" w:eastAsia="宋体"/>
                <w:sz w:val="21"/>
              </w:rPr>
              <w:t>按调用量计费或包月</w:t>
            </w:r>
          </w:p>
        </w:tc>
      </w:tr>
      <w:tr>
        <w:tc>
          <w:tcPr>
            <w:tcW w:type="dxa" w:w="1701"/>
            <w:shd w:fill="EBF0F7"/>
          </w:tcPr>
          <w:p>
            <w:pPr>
              <w:jc w:val="center"/>
            </w:pPr>
            <w:r/>
            <w:r>
              <w:rPr>
                <w:rFonts w:ascii="宋体" w:hAnsi="宋体" w:eastAsia="宋体"/>
                <w:sz w:val="21"/>
              </w:rPr>
              <w:t>咨询服务</w:t>
            </w:r>
          </w:p>
        </w:tc>
        <w:tc>
          <w:tcPr>
            <w:tcW w:type="dxa" w:w="3402"/>
            <w:shd w:fill="EBF0F7"/>
          </w:tcPr>
          <w:p>
            <w:pPr>
              <w:jc w:val="center"/>
            </w:pPr>
            <w:r/>
            <w:r>
              <w:rPr>
                <w:rFonts w:ascii="宋体" w:hAnsi="宋体" w:eastAsia="宋体"/>
                <w:sz w:val="21"/>
              </w:rPr>
              <w:t>为中小私募和量化团队提供定制化策略开发、模型优化等专业服务</w:t>
            </w:r>
          </w:p>
        </w:tc>
        <w:tc>
          <w:tcPr>
            <w:tcW w:type="dxa" w:w="1984"/>
            <w:shd w:fill="EBF0F7"/>
          </w:tcPr>
          <w:p>
            <w:pPr>
              <w:jc w:val="center"/>
            </w:pPr>
            <w:r/>
            <w:r>
              <w:rPr>
                <w:rFonts w:ascii="宋体" w:hAnsi="宋体" w:eastAsia="宋体"/>
                <w:sz w:val="21"/>
              </w:rPr>
              <w:t>按项目报价</w:t>
            </w:r>
          </w:p>
        </w:tc>
      </w:tr>
      <w:tr>
        <w:tc>
          <w:tcPr>
            <w:tcW w:type="dxa" w:w="1701"/>
          </w:tcPr>
          <w:p>
            <w:pPr>
              <w:jc w:val="center"/>
            </w:pPr>
            <w:r/>
            <w:r>
              <w:rPr>
                <w:rFonts w:ascii="宋体" w:hAnsi="宋体" w:eastAsia="宋体"/>
                <w:sz w:val="21"/>
              </w:rPr>
              <w:t>培训课程</w:t>
            </w:r>
          </w:p>
        </w:tc>
        <w:tc>
          <w:tcPr>
            <w:tcW w:type="dxa" w:w="3402"/>
          </w:tcPr>
          <w:p>
            <w:pPr>
              <w:jc w:val="center"/>
            </w:pPr>
            <w:r/>
            <w:r>
              <w:rPr>
                <w:rFonts w:ascii="宋体" w:hAnsi="宋体" w:eastAsia="宋体"/>
                <w:sz w:val="21"/>
              </w:rPr>
              <w:t>量化投资入门课程、五维评分模型解读、回测方法论等在线课程</w:t>
            </w:r>
          </w:p>
        </w:tc>
        <w:tc>
          <w:tcPr>
            <w:tcW w:type="dxa" w:w="1984"/>
          </w:tcPr>
          <w:p>
            <w:pPr>
              <w:jc w:val="center"/>
            </w:pPr>
            <w:r/>
            <w:r>
              <w:rPr>
                <w:rFonts w:ascii="宋体" w:hAnsi="宋体" w:eastAsia="宋体"/>
                <w:sz w:val="21"/>
              </w:rPr>
              <w:t>299-1999元/课程</w:t>
            </w:r>
          </w:p>
        </w:tc>
      </w:tr>
    </w:tbl>
    <w:p/>
    <w:p>
      <w:pPr>
        <w:spacing w:before="240" w:after="120" w:line="288" w:lineRule="auto"/>
      </w:pPr>
      <w:r>
        <w:rPr>
          <w:rFonts w:ascii="宋体" w:hAnsi="宋体" w:eastAsia="宋体"/>
          <w:b/>
          <w:sz w:val="24"/>
        </w:rPr>
        <w:t>5.2 定价策略</w:t>
      </w:r>
    </w:p>
    <w:p>
      <w:pPr>
        <w:spacing w:line="288" w:lineRule="auto" w:after="80"/>
        <w:ind w:firstLine="480"/>
      </w:pPr>
      <w:r>
        <w:rPr>
          <w:rFonts w:ascii="宋体" w:hAnsi="宋体" w:eastAsia="宋体"/>
          <w:sz w:val="24"/>
        </w:rPr>
        <w:t>融衔采用三级版本定价策略：</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1134"/>
            <w:shd w:fill="1A3C6E"/>
          </w:tcPr>
          <w:p>
            <w:pPr>
              <w:jc w:val="center"/>
            </w:pPr>
            <w:r/>
            <w:r>
              <w:rPr>
                <w:rFonts w:ascii="黑体" w:hAnsi="黑体" w:eastAsia="黑体"/>
                <w:b/>
                <w:color w:val="FFFFFF"/>
                <w:sz w:val="21"/>
              </w:rPr>
              <w:t>版本</w:t>
            </w:r>
          </w:p>
        </w:tc>
        <w:tc>
          <w:tcPr>
            <w:tcW w:type="dxa" w:w="1984"/>
            <w:shd w:fill="1A3C6E"/>
          </w:tcPr>
          <w:p>
            <w:pPr>
              <w:jc w:val="center"/>
            </w:pPr>
            <w:r/>
            <w:r>
              <w:rPr>
                <w:rFonts w:ascii="黑体" w:hAnsi="黑体" w:eastAsia="黑体"/>
                <w:b/>
                <w:color w:val="FFFFFF"/>
                <w:sz w:val="21"/>
              </w:rPr>
              <w:t>定价</w:t>
            </w:r>
          </w:p>
        </w:tc>
        <w:tc>
          <w:tcPr>
            <w:tcW w:type="dxa" w:w="3118"/>
            <w:shd w:fill="1A3C6E"/>
          </w:tcPr>
          <w:p>
            <w:pPr>
              <w:jc w:val="center"/>
            </w:pPr>
            <w:r/>
            <w:r>
              <w:rPr>
                <w:rFonts w:ascii="黑体" w:hAnsi="黑体" w:eastAsia="黑体"/>
                <w:b/>
                <w:color w:val="FFFFFF"/>
                <w:sz w:val="21"/>
              </w:rPr>
              <w:t>核心功能</w:t>
            </w:r>
          </w:p>
        </w:tc>
        <w:tc>
          <w:tcPr>
            <w:tcW w:type="dxa" w:w="1701"/>
            <w:shd w:fill="1A3C6E"/>
          </w:tcPr>
          <w:p>
            <w:pPr>
              <w:jc w:val="center"/>
            </w:pPr>
            <w:r/>
            <w:r>
              <w:rPr>
                <w:rFonts w:ascii="黑体" w:hAnsi="黑体" w:eastAsia="黑体"/>
                <w:b/>
                <w:color w:val="FFFFFF"/>
                <w:sz w:val="21"/>
              </w:rPr>
              <w:t>目标用户</w:t>
            </w:r>
          </w:p>
        </w:tc>
      </w:tr>
      <w:tr>
        <w:tc>
          <w:tcPr>
            <w:tcW w:type="dxa" w:w="1134"/>
            <w:shd w:fill="EBF0F7"/>
          </w:tcPr>
          <w:p>
            <w:pPr>
              <w:jc w:val="center"/>
            </w:pPr>
            <w:r/>
            <w:r>
              <w:rPr>
                <w:rFonts w:ascii="宋体" w:hAnsi="宋体" w:eastAsia="宋体"/>
                <w:sz w:val="21"/>
              </w:rPr>
              <w:t>基础版</w:t>
            </w:r>
          </w:p>
        </w:tc>
        <w:tc>
          <w:tcPr>
            <w:tcW w:type="dxa" w:w="1984"/>
            <w:shd w:fill="EBF0F7"/>
          </w:tcPr>
          <w:p>
            <w:pPr>
              <w:jc w:val="center"/>
            </w:pPr>
            <w:r/>
            <w:r>
              <w:rPr>
                <w:rFonts w:ascii="宋体" w:hAnsi="宋体" w:eastAsia="宋体"/>
                <w:sz w:val="21"/>
              </w:rPr>
              <w:t>免费</w:t>
            </w:r>
          </w:p>
        </w:tc>
        <w:tc>
          <w:tcPr>
            <w:tcW w:type="dxa" w:w="3118"/>
            <w:shd w:fill="EBF0F7"/>
          </w:tcPr>
          <w:p>
            <w:pPr>
              <w:jc w:val="center"/>
            </w:pPr>
            <w:r/>
            <w:r>
              <w:rPr>
                <w:rFonts w:ascii="宋体" w:hAnsi="宋体" w:eastAsia="宋体"/>
                <w:sz w:val="21"/>
              </w:rPr>
              <w:t>市场概览、每日限量选股信号、自选股管理、邮件通知</w:t>
            </w:r>
          </w:p>
        </w:tc>
        <w:tc>
          <w:tcPr>
            <w:tcW w:type="dxa" w:w="1701"/>
            <w:shd w:fill="EBF0F7"/>
          </w:tcPr>
          <w:p>
            <w:pPr>
              <w:jc w:val="center"/>
            </w:pPr>
            <w:r/>
            <w:r>
              <w:rPr>
                <w:rFonts w:ascii="宋体" w:hAnsi="宋体" w:eastAsia="宋体"/>
                <w:sz w:val="21"/>
              </w:rPr>
              <w:t>所有注册用户</w:t>
            </w:r>
          </w:p>
        </w:tc>
      </w:tr>
      <w:tr>
        <w:tc>
          <w:tcPr>
            <w:tcW w:type="dxa" w:w="1134"/>
          </w:tcPr>
          <w:p>
            <w:pPr>
              <w:jc w:val="center"/>
            </w:pPr>
            <w:r/>
            <w:r>
              <w:rPr>
                <w:rFonts w:ascii="宋体" w:hAnsi="宋体" w:eastAsia="宋体"/>
                <w:sz w:val="21"/>
              </w:rPr>
              <w:t>专业版</w:t>
            </w:r>
          </w:p>
        </w:tc>
        <w:tc>
          <w:tcPr>
            <w:tcW w:type="dxa" w:w="1984"/>
          </w:tcPr>
          <w:p>
            <w:pPr>
              <w:jc w:val="center"/>
            </w:pPr>
            <w:r/>
            <w:r>
              <w:rPr>
                <w:rFonts w:ascii="宋体" w:hAnsi="宋体" w:eastAsia="宋体"/>
                <w:sz w:val="21"/>
              </w:rPr>
              <w:t>98元/月 或 998元/年</w:t>
            </w:r>
          </w:p>
        </w:tc>
        <w:tc>
          <w:tcPr>
            <w:tcW w:type="dxa" w:w="3118"/>
          </w:tcPr>
          <w:p>
            <w:pPr>
              <w:jc w:val="center"/>
            </w:pPr>
            <w:r/>
            <w:r>
              <w:rPr>
                <w:rFonts w:ascii="宋体" w:hAnsi="宋体" w:eastAsia="宋体"/>
                <w:sz w:val="21"/>
              </w:rPr>
              <w:t>无限信号、深度分析、策略回测、风格化报告、飞书推送</w:t>
            </w:r>
          </w:p>
        </w:tc>
        <w:tc>
          <w:tcPr>
            <w:tcW w:type="dxa" w:w="1701"/>
          </w:tcPr>
          <w:p>
            <w:pPr>
              <w:jc w:val="center"/>
            </w:pPr>
            <w:r/>
            <w:r>
              <w:rPr>
                <w:rFonts w:ascii="宋体" w:hAnsi="宋体" w:eastAsia="宋体"/>
                <w:sz w:val="21"/>
              </w:rPr>
              <w:t>有深度分析需求的个人投资者</w:t>
            </w:r>
          </w:p>
        </w:tc>
      </w:tr>
      <w:tr>
        <w:tc>
          <w:tcPr>
            <w:tcW w:type="dxa" w:w="1134"/>
            <w:shd w:fill="EBF0F7"/>
          </w:tcPr>
          <w:p>
            <w:pPr>
              <w:jc w:val="center"/>
            </w:pPr>
            <w:r/>
            <w:r>
              <w:rPr>
                <w:rFonts w:ascii="宋体" w:hAnsi="宋体" w:eastAsia="宋体"/>
                <w:sz w:val="21"/>
              </w:rPr>
              <w:t>企业版</w:t>
            </w:r>
          </w:p>
        </w:tc>
        <w:tc>
          <w:tcPr>
            <w:tcW w:type="dxa" w:w="1984"/>
            <w:shd w:fill="EBF0F7"/>
          </w:tcPr>
          <w:p>
            <w:pPr>
              <w:jc w:val="center"/>
            </w:pPr>
            <w:r/>
            <w:r>
              <w:rPr>
                <w:rFonts w:ascii="宋体" w:hAnsi="宋体" w:eastAsia="宋体"/>
                <w:sz w:val="21"/>
              </w:rPr>
              <w:t>2998元/年起</w:t>
            </w:r>
          </w:p>
        </w:tc>
        <w:tc>
          <w:tcPr>
            <w:tcW w:type="dxa" w:w="3118"/>
            <w:shd w:fill="EBF0F7"/>
          </w:tcPr>
          <w:p>
            <w:pPr>
              <w:jc w:val="center"/>
            </w:pPr>
            <w:r/>
            <w:r>
              <w:rPr>
                <w:rFonts w:ascii="宋体" w:hAnsi="宋体" w:eastAsia="宋体"/>
                <w:sz w:val="21"/>
              </w:rPr>
              <w:t>API数据接口、团队协作、定制策略、专属客服</w:t>
            </w:r>
          </w:p>
        </w:tc>
        <w:tc>
          <w:tcPr>
            <w:tcW w:type="dxa" w:w="1701"/>
            <w:shd w:fill="EBF0F7"/>
          </w:tcPr>
          <w:p>
            <w:pPr>
              <w:jc w:val="center"/>
            </w:pPr>
            <w:r/>
            <w:r>
              <w:rPr>
                <w:rFonts w:ascii="宋体" w:hAnsi="宋体" w:eastAsia="宋体"/>
                <w:sz w:val="21"/>
              </w:rPr>
              <w:t>小型私募和量化团队</w:t>
            </w:r>
          </w:p>
        </w:tc>
      </w:tr>
    </w:tbl>
    <w:p/>
    <w:p>
      <w:pPr>
        <w:spacing w:line="288" w:lineRule="auto" w:after="80"/>
        <w:ind w:firstLine="480"/>
      </w:pPr>
      <w:r>
        <w:rPr>
          <w:rFonts w:ascii="宋体" w:hAnsi="宋体" w:eastAsia="宋体"/>
          <w:sz w:val="24"/>
        </w:rPr>
        <w:t>定价策略的核心逻辑是：基础版免费获取用户基数并建立品牌认知，专业版通过满足深度用户的需求实现商业变现，企业版拓展B端市场提升客单价。新用户注册即享7天专业版免费试用，降低付费转化的门槛。基础版每日限量展示5只选股信号，既能满足轻度用户的基本需求，也能让用户体验到产品的核心价值，为付费转化创造条件。</w:t>
      </w:r>
    </w:p>
    <w:p>
      <w:pPr>
        <w:spacing w:before="240" w:after="120" w:line="288" w:lineRule="auto"/>
      </w:pPr>
      <w:r>
        <w:rPr>
          <w:rFonts w:ascii="宋体" w:hAnsi="宋体" w:eastAsia="宋体"/>
          <w:b/>
          <w:sz w:val="24"/>
        </w:rPr>
        <w:t>5.3 客户获取与留存策略</w:t>
      </w:r>
    </w:p>
    <w:p>
      <w:pPr>
        <w:spacing w:line="288" w:lineRule="auto" w:after="80"/>
        <w:ind w:firstLine="480"/>
      </w:pPr>
      <w:r>
        <w:rPr>
          <w:rFonts w:ascii="宋体" w:hAnsi="宋体" w:eastAsia="宋体"/>
          <w:sz w:val="24"/>
        </w:rPr>
        <w:t>在客户获取方面，项目早期将以低成本的内容营销和社区运营为主要获客渠道：</w:t>
      </w:r>
    </w:p>
    <w:p>
      <w:pPr>
        <w:spacing w:line="288" w:lineRule="auto" w:after="80"/>
        <w:ind w:firstLine="480"/>
      </w:pPr>
      <w:r>
        <w:rPr>
          <w:rFonts w:ascii="宋体" w:hAnsi="宋体" w:eastAsia="宋体"/>
          <w:sz w:val="24"/>
        </w:rPr>
        <w:t>（1）内容营销：在雪球、东方财富号、微信公众号、知乎等平台持续输出量化分析相关的高质量内容，包括市场解读、选股方法论、回测案例分享等。通过专业内容吸引对量化投资感兴趣的精准用户群体。同时，在B站等视频平台制作量化投资入门教程，触达更年轻的投资者群体。</w:t>
      </w:r>
    </w:p>
    <w:p>
      <w:pPr>
        <w:spacing w:line="288" w:lineRule="auto" w:after="80"/>
        <w:ind w:firstLine="480"/>
      </w:pPr>
      <w:r>
        <w:rPr>
          <w:rFonts w:ascii="宋体" w:hAnsi="宋体" w:eastAsia="宋体"/>
          <w:sz w:val="24"/>
        </w:rPr>
        <w:t>（2）开源社区运营：融衔的代码托管在GitHub上，通过积极参与开源社区建设（撰写高质量的README文档、及时回复Issue、接受Pull Request等），吸引开发者和技术背景的投资者关注和使用。开源社区用户的口碑传播是低成本获客的重要渠道。</w:t>
      </w:r>
    </w:p>
    <w:p>
      <w:pPr>
        <w:spacing w:line="288" w:lineRule="auto" w:after="80"/>
        <w:ind w:firstLine="480"/>
      </w:pPr>
      <w:r>
        <w:rPr>
          <w:rFonts w:ascii="宋体" w:hAnsi="宋体" w:eastAsia="宋体"/>
          <w:sz w:val="24"/>
        </w:rPr>
        <w:t>（3）用户口碑传播：通过产品本身的实用性和良好的用户体验，鼓励现有用户向身边的朋友推荐。投资者社区（如雪球、股吧）中的口碑传播效应往往比广告投放更加有效。</w:t>
      </w:r>
    </w:p>
    <w:p>
      <w:pPr>
        <w:spacing w:line="288" w:lineRule="auto" w:after="80"/>
        <w:ind w:firstLine="480"/>
      </w:pPr>
      <w:r>
        <w:rPr>
          <w:rFonts w:ascii="宋体" w:hAnsi="宋体" w:eastAsia="宋体"/>
          <w:sz w:val="24"/>
        </w:rPr>
        <w:t>在用户留存方面，重点关注以下策略：每日信号推送保持用户与产品的持续互动；策略回测功能增强用户对产品的依赖性；持续的产品迭代和功能优化满足用户不断升级的需求。核心目标是保持月活跃用户的留存率在70%以上。</w:t>
      </w:r>
    </w:p>
    <w:p>
      <w:pPr>
        <w:spacing w:line="288" w:lineRule="auto" w:after="80"/>
        <w:ind w:firstLine="480"/>
      </w:pPr>
      <w:r>
        <w:rPr>
          <w:rFonts w:ascii="宋体" w:hAnsi="宋体" w:eastAsia="宋体"/>
          <w:sz w:val="24"/>
        </w:rPr>
        <w:t>关于用户增长模型，我们采用"漏斗模型"进行预测：注册用户中约60%会在首周内完成至少一次信号查看（激活率）；激活用户中约40%会在首月内使用回测或深度分析功能（深度使用率）；深度使用用户中约15%-20%会在3个月内转化为付费用户（付费转化率）。基于这一漏斗，从注册到付费的整体转化率约为3.6%-4.8%。随着产品体验的持续优化和用户教育的加强，各环节的转化率有望逐步提升。</w:t>
      </w:r>
    </w:p>
    <w:p>
      <w:r>
        <w:br w:type="page"/>
      </w:r>
    </w:p>
    <w:p>
      <w:pPr>
        <w:spacing w:before="360" w:after="200" w:line="288" w:lineRule="auto"/>
      </w:pPr>
      <w:r>
        <w:rPr>
          <w:rFonts w:ascii="宋体" w:hAnsi="宋体" w:eastAsia="宋体"/>
          <w:b/>
          <w:color w:val="1A3C6E"/>
          <w:sz w:val="28"/>
        </w:rPr>
        <w:t>六、营销策略</w:t>
      </w:r>
    </w:p>
    <w:p>
      <w:pPr>
        <w:spacing w:before="240" w:after="120" w:line="288" w:lineRule="auto"/>
      </w:pPr>
      <w:r>
        <w:rPr>
          <w:rFonts w:ascii="宋体" w:hAnsi="宋体" w:eastAsia="宋体"/>
          <w:b/>
          <w:sz w:val="24"/>
        </w:rPr>
        <w:t>6.1 品牌定位</w:t>
      </w:r>
    </w:p>
    <w:p>
      <w:pPr>
        <w:spacing w:line="288" w:lineRule="auto" w:after="80"/>
        <w:ind w:firstLine="480"/>
      </w:pPr>
      <w:r>
        <w:rPr>
          <w:rFonts w:ascii="宋体" w:hAnsi="宋体" w:eastAsia="宋体"/>
          <w:sz w:val="24"/>
        </w:rPr>
        <w:t>融衔的品牌定位是"个人投资者的开源量化分析伙伴"。这一定位强调三个关键信息：面向个人投资者（而非机构）、开源开放（而非封闭收费）、量化分析辅助工具（而非投资建议服务）。品牌传播的核心理念是：用数据和方法论帮助投资者做出更好的决策，而不是替投资者做决策。</w:t>
      </w:r>
    </w:p>
    <w:p>
      <w:pPr>
        <w:spacing w:before="240" w:after="120" w:line="288" w:lineRule="auto"/>
      </w:pPr>
      <w:r>
        <w:rPr>
          <w:rFonts w:ascii="宋体" w:hAnsi="宋体" w:eastAsia="宋体"/>
          <w:b/>
          <w:sz w:val="24"/>
        </w:rPr>
        <w:t>6.2 营销渠道与推广计划</w:t>
      </w:r>
    </w:p>
    <w:p>
      <w:pPr>
        <w:spacing w:line="288" w:lineRule="auto" w:after="80"/>
        <w:ind w:firstLine="480"/>
      </w:pPr>
      <w:r>
        <w:rPr>
          <w:rFonts w:ascii="宋体" w:hAnsi="宋体" w:eastAsia="宋体"/>
          <w:sz w:val="24"/>
        </w:rPr>
        <w:t>营销推广计划分为三个阶段，与产品发展阶段相匹配：</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1134"/>
            <w:shd w:fill="1A3C6E"/>
          </w:tcPr>
          <w:p>
            <w:pPr>
              <w:jc w:val="center"/>
            </w:pPr>
            <w:r/>
            <w:r>
              <w:rPr>
                <w:rFonts w:ascii="黑体" w:hAnsi="黑体" w:eastAsia="黑体"/>
                <w:b/>
                <w:color w:val="FFFFFF"/>
                <w:sz w:val="21"/>
              </w:rPr>
              <w:t>阶段</w:t>
            </w:r>
          </w:p>
        </w:tc>
        <w:tc>
          <w:tcPr>
            <w:tcW w:type="dxa" w:w="1701"/>
            <w:shd w:fill="1A3C6E"/>
          </w:tcPr>
          <w:p>
            <w:pPr>
              <w:jc w:val="center"/>
            </w:pPr>
            <w:r/>
            <w:r>
              <w:rPr>
                <w:rFonts w:ascii="黑体" w:hAnsi="黑体" w:eastAsia="黑体"/>
                <w:b/>
                <w:color w:val="FFFFFF"/>
                <w:sz w:val="21"/>
              </w:rPr>
              <w:t>时间</w:t>
            </w:r>
          </w:p>
        </w:tc>
        <w:tc>
          <w:tcPr>
            <w:tcW w:type="dxa" w:w="2835"/>
            <w:shd w:fill="1A3C6E"/>
          </w:tcPr>
          <w:p>
            <w:pPr>
              <w:jc w:val="center"/>
            </w:pPr>
            <w:r/>
            <w:r>
              <w:rPr>
                <w:rFonts w:ascii="黑体" w:hAnsi="黑体" w:eastAsia="黑体"/>
                <w:b/>
                <w:color w:val="FFFFFF"/>
                <w:sz w:val="21"/>
              </w:rPr>
              <w:t>重点策略</w:t>
            </w:r>
          </w:p>
        </w:tc>
        <w:tc>
          <w:tcPr>
            <w:tcW w:type="dxa" w:w="2268"/>
            <w:shd w:fill="1A3C6E"/>
          </w:tcPr>
          <w:p>
            <w:pPr>
              <w:jc w:val="center"/>
            </w:pPr>
            <w:r/>
            <w:r>
              <w:rPr>
                <w:rFonts w:ascii="黑体" w:hAnsi="黑体" w:eastAsia="黑体"/>
                <w:b/>
                <w:color w:val="FFFFFF"/>
                <w:sz w:val="21"/>
              </w:rPr>
              <w:t>目标</w:t>
            </w:r>
          </w:p>
        </w:tc>
      </w:tr>
      <w:tr>
        <w:tc>
          <w:tcPr>
            <w:tcW w:type="dxa" w:w="1134"/>
            <w:shd w:fill="EBF0F7"/>
          </w:tcPr>
          <w:p>
            <w:pPr>
              <w:jc w:val="center"/>
            </w:pPr>
            <w:r/>
            <w:r>
              <w:rPr>
                <w:rFonts w:ascii="宋体" w:hAnsi="宋体" w:eastAsia="宋体"/>
                <w:sz w:val="21"/>
              </w:rPr>
              <w:t>种子期</w:t>
            </w:r>
          </w:p>
        </w:tc>
        <w:tc>
          <w:tcPr>
            <w:tcW w:type="dxa" w:w="1701"/>
            <w:shd w:fill="EBF0F7"/>
          </w:tcPr>
          <w:p>
            <w:pPr>
              <w:jc w:val="center"/>
            </w:pPr>
            <w:r/>
            <w:r>
              <w:rPr>
                <w:rFonts w:ascii="宋体" w:hAnsi="宋体" w:eastAsia="宋体"/>
                <w:sz w:val="21"/>
              </w:rPr>
              <w:t>第1-3个月</w:t>
            </w:r>
          </w:p>
        </w:tc>
        <w:tc>
          <w:tcPr>
            <w:tcW w:type="dxa" w:w="2835"/>
            <w:shd w:fill="EBF0F7"/>
          </w:tcPr>
          <w:p>
            <w:pPr>
              <w:jc w:val="center"/>
            </w:pPr>
            <w:r/>
            <w:r>
              <w:rPr>
                <w:rFonts w:ascii="宋体" w:hAnsi="宋体" w:eastAsia="宋体"/>
                <w:sz w:val="21"/>
              </w:rPr>
              <w:t>邀请制内测、GitHub社区推广、投资社区发帖</w:t>
            </w:r>
          </w:p>
        </w:tc>
        <w:tc>
          <w:tcPr>
            <w:tcW w:type="dxa" w:w="2268"/>
            <w:shd w:fill="EBF0F7"/>
          </w:tcPr>
          <w:p>
            <w:pPr>
              <w:jc w:val="center"/>
            </w:pPr>
            <w:r/>
            <w:r>
              <w:rPr>
                <w:rFonts w:ascii="宋体" w:hAnsi="宋体" w:eastAsia="宋体"/>
                <w:sz w:val="21"/>
              </w:rPr>
              <w:t>获取200-500名种子用户，收集核心反馈</w:t>
            </w:r>
          </w:p>
        </w:tc>
      </w:tr>
      <w:tr>
        <w:tc>
          <w:tcPr>
            <w:tcW w:type="dxa" w:w="1134"/>
          </w:tcPr>
          <w:p>
            <w:pPr>
              <w:jc w:val="center"/>
            </w:pPr>
            <w:r/>
            <w:r>
              <w:rPr>
                <w:rFonts w:ascii="宋体" w:hAnsi="宋体" w:eastAsia="宋体"/>
                <w:sz w:val="21"/>
              </w:rPr>
              <w:t>成长期</w:t>
            </w:r>
          </w:p>
        </w:tc>
        <w:tc>
          <w:tcPr>
            <w:tcW w:type="dxa" w:w="1701"/>
          </w:tcPr>
          <w:p>
            <w:pPr>
              <w:jc w:val="center"/>
            </w:pPr>
            <w:r/>
            <w:r>
              <w:rPr>
                <w:rFonts w:ascii="宋体" w:hAnsi="宋体" w:eastAsia="宋体"/>
                <w:sz w:val="21"/>
              </w:rPr>
              <w:t>第4-12个月</w:t>
            </w:r>
          </w:p>
        </w:tc>
        <w:tc>
          <w:tcPr>
            <w:tcW w:type="dxa" w:w="2835"/>
          </w:tcPr>
          <w:p>
            <w:pPr>
              <w:jc w:val="center"/>
            </w:pPr>
            <w:r/>
            <w:r>
              <w:rPr>
                <w:rFonts w:ascii="宋体" w:hAnsi="宋体" w:eastAsia="宋体"/>
                <w:sz w:val="21"/>
              </w:rPr>
              <w:t>内容营销、社区运营、搜索引擎优化</w:t>
            </w:r>
          </w:p>
        </w:tc>
        <w:tc>
          <w:tcPr>
            <w:tcW w:type="dxa" w:w="2268"/>
          </w:tcPr>
          <w:p>
            <w:pPr>
              <w:jc w:val="center"/>
            </w:pPr>
            <w:r/>
            <w:r>
              <w:rPr>
                <w:rFonts w:ascii="宋体" w:hAnsi="宋体" w:eastAsia="宋体"/>
                <w:sz w:val="21"/>
              </w:rPr>
              <w:t>注册用户突破5000，初步验证商业模式</w:t>
            </w:r>
          </w:p>
        </w:tc>
      </w:tr>
      <w:tr>
        <w:tc>
          <w:tcPr>
            <w:tcW w:type="dxa" w:w="1134"/>
            <w:shd w:fill="EBF0F7"/>
          </w:tcPr>
          <w:p>
            <w:pPr>
              <w:jc w:val="center"/>
            </w:pPr>
            <w:r/>
            <w:r>
              <w:rPr>
                <w:rFonts w:ascii="宋体" w:hAnsi="宋体" w:eastAsia="宋体"/>
                <w:sz w:val="21"/>
              </w:rPr>
              <w:t>扩展期</w:t>
            </w:r>
          </w:p>
        </w:tc>
        <w:tc>
          <w:tcPr>
            <w:tcW w:type="dxa" w:w="1701"/>
            <w:shd w:fill="EBF0F7"/>
          </w:tcPr>
          <w:p>
            <w:pPr>
              <w:jc w:val="center"/>
            </w:pPr>
            <w:r/>
            <w:r>
              <w:rPr>
                <w:rFonts w:ascii="宋体" w:hAnsi="宋体" w:eastAsia="宋体"/>
                <w:sz w:val="21"/>
              </w:rPr>
              <w:t>第13-24个月</w:t>
            </w:r>
          </w:p>
        </w:tc>
        <w:tc>
          <w:tcPr>
            <w:tcW w:type="dxa" w:w="2835"/>
            <w:shd w:fill="EBF0F7"/>
          </w:tcPr>
          <w:p>
            <w:pPr>
              <w:jc w:val="center"/>
            </w:pPr>
            <w:r/>
            <w:r>
              <w:rPr>
                <w:rFonts w:ascii="宋体" w:hAnsi="宋体" w:eastAsia="宋体"/>
                <w:sz w:val="21"/>
              </w:rPr>
              <w:t>KOL合作、线下活动、品牌建设</w:t>
            </w:r>
          </w:p>
        </w:tc>
        <w:tc>
          <w:tcPr>
            <w:tcW w:type="dxa" w:w="2268"/>
            <w:shd w:fill="EBF0F7"/>
          </w:tcPr>
          <w:p>
            <w:pPr>
              <w:jc w:val="center"/>
            </w:pPr>
            <w:r/>
            <w:r>
              <w:rPr>
                <w:rFonts w:ascii="宋体" w:hAnsi="宋体" w:eastAsia="宋体"/>
                <w:sz w:val="21"/>
              </w:rPr>
              <w:t>注册用户突破3万，付费用户稳定增长</w:t>
            </w:r>
          </w:p>
        </w:tc>
      </w:tr>
    </w:tbl>
    <w:p/>
    <w:p>
      <w:pPr>
        <w:spacing w:line="288" w:lineRule="auto" w:after="80"/>
        <w:ind w:firstLine="480"/>
      </w:pPr>
      <w:r>
        <w:rPr>
          <w:rFonts w:ascii="宋体" w:hAnsi="宋体" w:eastAsia="宋体"/>
          <w:sz w:val="24"/>
        </w:rPr>
        <w:t>在内容营销方面，计划打造"融衔研究院"品牌，定期发布以下类型的内容：每日市场速评（300-500字，简要点评当日市场热点和信号变化）；周度选股策略（1000-2000字，基于评分模型筛选本周值得关注的标的）；月度深度分析（3000-5000字，对某个行业或投资主题进行深入分析）；季度回测报告（对近期策略表现的回顾和优化方向）。通过持续的高质量内容输出，在量化投资分析领域建立专业形象。</w:t>
      </w:r>
    </w:p>
    <w:p>
      <w:pPr>
        <w:spacing w:line="288" w:lineRule="auto" w:after="80"/>
        <w:ind w:firstLine="480"/>
      </w:pPr>
      <w:r>
        <w:rPr>
          <w:rFonts w:ascii="宋体" w:hAnsi="宋体" w:eastAsia="宋体"/>
          <w:sz w:val="24"/>
        </w:rPr>
        <w:t>在效果评估方面，重点关注以下指标：获客成本（CAC）——目标控制在100元以内（内容营销渠道预计为30-50元/人）；注册到付费转化率——目标5%-10%；用户月留存率——目标70%以上；日活/月活比（DAU/MAU）——目标25%以上。</w:t>
      </w:r>
    </w:p>
    <w:p>
      <w:pPr>
        <w:spacing w:line="288" w:lineRule="auto" w:after="80"/>
        <w:ind w:firstLine="480"/>
      </w:pPr>
      <w:r>
        <w:rPr>
          <w:rFonts w:ascii="宋体" w:hAnsi="宋体" w:eastAsia="宋体"/>
          <w:sz w:val="24"/>
        </w:rPr>
        <w:t>在品牌建设方面，我们将通过以下方式建立融衔的专业形象：第一，坚持产品页面的设计风格统一、信息层次清晰，给用户留下专业可靠的第一印象。第二，在所有对外内容中保持严谨的数据引用习惯，使用公开数据时注明来源，不夸大产品功能，不承诺投资收益。第三，积极参与行业交流活动，如量化投资论坛、金融科技峰会等，与同行交流学习，扩大品牌影响力。第四，在GitHub等开源社区保持活跃，及时回应用户反馈和建议，建立良好的开发者关系。</w:t>
      </w:r>
    </w:p>
    <w:p>
      <w:r>
        <w:br w:type="page"/>
      </w:r>
    </w:p>
    <w:p>
      <w:pPr>
        <w:spacing w:before="360" w:after="200" w:line="288" w:lineRule="auto"/>
      </w:pPr>
      <w:r>
        <w:rPr>
          <w:rFonts w:ascii="宋体" w:hAnsi="宋体" w:eastAsia="宋体"/>
          <w:b/>
          <w:color w:val="1A3C6E"/>
          <w:sz w:val="28"/>
        </w:rPr>
        <w:t>七、运营计划</w:t>
      </w:r>
    </w:p>
    <w:p>
      <w:pPr>
        <w:spacing w:before="240" w:after="120" w:line="288" w:lineRule="auto"/>
      </w:pPr>
      <w:r>
        <w:rPr>
          <w:rFonts w:ascii="宋体" w:hAnsi="宋体" w:eastAsia="宋体"/>
          <w:b/>
          <w:sz w:val="24"/>
        </w:rPr>
        <w:t>7.1 日常运营流程</w:t>
      </w:r>
    </w:p>
    <w:p>
      <w:pPr>
        <w:spacing w:line="288" w:lineRule="auto" w:after="80"/>
        <w:ind w:firstLine="480"/>
      </w:pPr>
      <w:r>
        <w:rPr>
          <w:rFonts w:ascii="宋体" w:hAnsi="宋体" w:eastAsia="宋体"/>
          <w:sz w:val="24"/>
        </w:rPr>
        <w:t>融衔平台的日常运营以"数据驱动、自动化优先"为原则。核心运营流程如下：</w:t>
      </w:r>
    </w:p>
    <w:p>
      <w:pPr>
        <w:spacing w:line="288" w:lineRule="auto" w:after="80"/>
        <w:ind w:firstLine="480"/>
      </w:pPr>
      <w:r>
        <w:rPr>
          <w:rFonts w:ascii="宋体" w:hAnsi="宋体" w:eastAsia="宋体"/>
          <w:sz w:val="24"/>
        </w:rPr>
        <w:t>数据更新流程：每个交易日A股收盘（15:00）后，系统通过APScheduler定时任务自动触发数据同步——首先从AKShare批量拉取当日全市场股票的行情数据（开盘价、收盘价、最高价、最低价、成交量、换手率等），然后从东方财富接口获取最新的财务报表数据，接着对原始数据进行清洗和校验（剔除异常值、填补缺失值、交叉验证），最后将处理后的数据写入数据库并触发评分计算。整个流程预计在17:00前完成，用户可在17:30前收到当日的信号推送。</w:t>
      </w:r>
    </w:p>
    <w:p>
      <w:pPr>
        <w:spacing w:line="288" w:lineRule="auto" w:after="80"/>
        <w:ind w:firstLine="480"/>
      </w:pPr>
      <w:r>
        <w:rPr>
          <w:rFonts w:ascii="宋体" w:hAnsi="宋体" w:eastAsia="宋体"/>
          <w:sz w:val="24"/>
        </w:rPr>
        <w:t>用户服务流程：通过微信客服号和邮件工单两个渠道接收用户反馈。普通功能问题在24小时内响应，系统故障在2小时内响应，重大故障30分钟内启动应急处理。</w:t>
      </w:r>
    </w:p>
    <w:p>
      <w:pPr>
        <w:spacing w:line="288" w:lineRule="auto" w:after="80"/>
        <w:ind w:firstLine="480"/>
      </w:pPr>
      <w:r>
        <w:rPr>
          <w:rFonts w:ascii="宋体" w:hAnsi="宋体" w:eastAsia="宋体"/>
          <w:sz w:val="24"/>
        </w:rPr>
        <w:t>产品迭代流程：两周一个迭代周期。每个周期第1天进行需求评审，第2-8天开发实施，第9-10天测试验证，第11天发布上线，第12天迭代回顾。用户反馈通过统一的需求池管理，按影响面和紧急程度排入后续迭代。</w:t>
      </w:r>
    </w:p>
    <w:p>
      <w:pPr>
        <w:spacing w:before="240" w:after="120" w:line="288" w:lineRule="auto"/>
      </w:pPr>
      <w:r>
        <w:rPr>
          <w:rFonts w:ascii="宋体" w:hAnsi="宋体" w:eastAsia="宋体"/>
          <w:b/>
          <w:sz w:val="24"/>
        </w:rPr>
        <w:t>7.2 技术运维</w:t>
      </w:r>
    </w:p>
    <w:p>
      <w:pPr>
        <w:spacing w:line="288" w:lineRule="auto" w:after="80"/>
        <w:ind w:firstLine="480"/>
      </w:pPr>
      <w:r>
        <w:rPr>
          <w:rFonts w:ascii="宋体" w:hAnsi="宋体" w:eastAsia="宋体"/>
          <w:sz w:val="24"/>
        </w:rPr>
        <w:t>平台采用Docker Compose进行容器化部署，包含四个容器：PostgreSQL数据库、Redis缓存、FastAPI后端服务和Next.js前端服务。Nginx作为反向代理统一对外提供服务。</w:t>
      </w:r>
    </w:p>
    <w:tbl>
      <w:tblPr>
        <w:tblStyle w:val="TableGrid"/>
        <w:tblW w:type="auto" w:w="0"/>
        <w:jc w:val="center"/>
        <w:tblLook w:firstColumn="1" w:firstRow="1" w:lastColumn="0" w:lastRow="0" w:noHBand="0" w:noVBand="1" w:val="04A0"/>
      </w:tblPr>
      <w:tblGrid>
        <w:gridCol w:w="2767"/>
        <w:gridCol w:w="2767"/>
        <w:gridCol w:w="2767"/>
      </w:tblGrid>
      <w:tr>
        <w:tc>
          <w:tcPr>
            <w:tcW w:type="dxa" w:w="1701"/>
            <w:shd w:fill="1A3C6E"/>
          </w:tcPr>
          <w:p>
            <w:pPr>
              <w:jc w:val="center"/>
            </w:pPr>
            <w:r/>
            <w:r>
              <w:rPr>
                <w:rFonts w:ascii="黑体" w:hAnsi="黑体" w:eastAsia="黑体"/>
                <w:b/>
                <w:color w:val="FFFFFF"/>
                <w:sz w:val="21"/>
              </w:rPr>
              <w:t>运维领域</w:t>
            </w:r>
          </w:p>
        </w:tc>
        <w:tc>
          <w:tcPr>
            <w:tcW w:type="dxa" w:w="3402"/>
            <w:shd w:fill="1A3C6E"/>
          </w:tcPr>
          <w:p>
            <w:pPr>
              <w:jc w:val="center"/>
            </w:pPr>
            <w:r/>
            <w:r>
              <w:rPr>
                <w:rFonts w:ascii="黑体" w:hAnsi="黑体" w:eastAsia="黑体"/>
                <w:b/>
                <w:color w:val="FFFFFF"/>
                <w:sz w:val="21"/>
              </w:rPr>
              <w:t>方案</w:t>
            </w:r>
          </w:p>
        </w:tc>
        <w:tc>
          <w:tcPr>
            <w:tcW w:type="dxa" w:w="2551"/>
            <w:shd w:fill="1A3C6E"/>
          </w:tcPr>
          <w:p>
            <w:pPr>
              <w:jc w:val="center"/>
            </w:pPr>
            <w:r/>
            <w:r>
              <w:rPr>
                <w:rFonts w:ascii="黑体" w:hAnsi="黑体" w:eastAsia="黑体"/>
                <w:b/>
                <w:color w:val="FFFFFF"/>
                <w:sz w:val="21"/>
              </w:rPr>
              <w:t>目标</w:t>
            </w:r>
          </w:p>
        </w:tc>
      </w:tr>
      <w:tr>
        <w:tc>
          <w:tcPr>
            <w:tcW w:type="dxa" w:w="1701"/>
            <w:shd w:fill="EBF0F7"/>
          </w:tcPr>
          <w:p>
            <w:pPr>
              <w:jc w:val="center"/>
            </w:pPr>
            <w:r/>
            <w:r>
              <w:rPr>
                <w:rFonts w:ascii="宋体" w:hAnsi="宋体" w:eastAsia="宋体"/>
                <w:sz w:val="21"/>
              </w:rPr>
              <w:t>部署方式</w:t>
            </w:r>
          </w:p>
        </w:tc>
        <w:tc>
          <w:tcPr>
            <w:tcW w:type="dxa" w:w="3402"/>
            <w:shd w:fill="EBF0F7"/>
          </w:tcPr>
          <w:p>
            <w:pPr>
              <w:jc w:val="center"/>
            </w:pPr>
            <w:r/>
            <w:r>
              <w:rPr>
                <w:rFonts w:ascii="宋体" w:hAnsi="宋体" w:eastAsia="宋体"/>
                <w:sz w:val="21"/>
              </w:rPr>
              <w:t>Docker Compose（后期视规模迁移至Kubernetes）</w:t>
            </w:r>
          </w:p>
        </w:tc>
        <w:tc>
          <w:tcPr>
            <w:tcW w:type="dxa" w:w="2551"/>
            <w:shd w:fill="EBF0F7"/>
          </w:tcPr>
          <w:p>
            <w:pPr>
              <w:jc w:val="center"/>
            </w:pPr>
            <w:r/>
            <w:r>
              <w:rPr>
                <w:rFonts w:ascii="宋体" w:hAnsi="宋体" w:eastAsia="宋体"/>
                <w:sz w:val="21"/>
              </w:rPr>
              <w:t>一键部署，环境一致</w:t>
            </w:r>
          </w:p>
        </w:tc>
      </w:tr>
      <w:tr>
        <w:tc>
          <w:tcPr>
            <w:tcW w:type="dxa" w:w="1701"/>
          </w:tcPr>
          <w:p>
            <w:pPr>
              <w:jc w:val="center"/>
            </w:pPr>
            <w:r/>
            <w:r>
              <w:rPr>
                <w:rFonts w:ascii="宋体" w:hAnsi="宋体" w:eastAsia="宋体"/>
                <w:sz w:val="21"/>
              </w:rPr>
              <w:t>数据备份</w:t>
            </w:r>
          </w:p>
        </w:tc>
        <w:tc>
          <w:tcPr>
            <w:tcW w:type="dxa" w:w="3402"/>
          </w:tcPr>
          <w:p>
            <w:pPr>
              <w:jc w:val="center"/>
            </w:pPr>
            <w:r/>
            <w:r>
              <w:rPr>
                <w:rFonts w:ascii="宋体" w:hAnsi="宋体" w:eastAsia="宋体"/>
                <w:sz w:val="21"/>
              </w:rPr>
              <w:t>PostgreSQL流复制 + 每日凌晨全量备份至云存储</w:t>
            </w:r>
          </w:p>
        </w:tc>
        <w:tc>
          <w:tcPr>
            <w:tcW w:type="dxa" w:w="2551"/>
          </w:tcPr>
          <w:p>
            <w:pPr>
              <w:jc w:val="center"/>
            </w:pPr>
            <w:r/>
            <w:r>
              <w:rPr>
                <w:rFonts w:ascii="宋体" w:hAnsi="宋体" w:eastAsia="宋体"/>
                <w:sz w:val="21"/>
              </w:rPr>
              <w:t>数据零丢失，可快速恢复</w:t>
            </w:r>
          </w:p>
        </w:tc>
      </w:tr>
      <w:tr>
        <w:tc>
          <w:tcPr>
            <w:tcW w:type="dxa" w:w="1701"/>
            <w:shd w:fill="EBF0F7"/>
          </w:tcPr>
          <w:p>
            <w:pPr>
              <w:jc w:val="center"/>
            </w:pPr>
            <w:r/>
            <w:r>
              <w:rPr>
                <w:rFonts w:ascii="宋体" w:hAnsi="宋体" w:eastAsia="宋体"/>
                <w:sz w:val="21"/>
              </w:rPr>
              <w:t>监控告警</w:t>
            </w:r>
          </w:p>
        </w:tc>
        <w:tc>
          <w:tcPr>
            <w:tcW w:type="dxa" w:w="3402"/>
            <w:shd w:fill="EBF0F7"/>
          </w:tcPr>
          <w:p>
            <w:pPr>
              <w:jc w:val="center"/>
            </w:pPr>
            <w:r/>
            <w:r>
              <w:rPr>
                <w:rFonts w:ascii="宋体" w:hAnsi="宋体" w:eastAsia="宋体"/>
                <w:sz w:val="21"/>
              </w:rPr>
              <w:t>Prometheus采集指标 + Grafana展示 + 邮件/飞书告警</w:t>
            </w:r>
          </w:p>
        </w:tc>
        <w:tc>
          <w:tcPr>
            <w:tcW w:type="dxa" w:w="2551"/>
            <w:shd w:fill="EBF0F7"/>
          </w:tcPr>
          <w:p>
            <w:pPr>
              <w:jc w:val="center"/>
            </w:pPr>
            <w:r/>
            <w:r>
              <w:rPr>
                <w:rFonts w:ascii="宋体" w:hAnsi="宋体" w:eastAsia="宋体"/>
                <w:sz w:val="21"/>
              </w:rPr>
              <w:t>故障5分钟内发现</w:t>
            </w:r>
          </w:p>
        </w:tc>
      </w:tr>
      <w:tr>
        <w:tc>
          <w:tcPr>
            <w:tcW w:type="dxa" w:w="1701"/>
          </w:tcPr>
          <w:p>
            <w:pPr>
              <w:jc w:val="center"/>
            </w:pPr>
            <w:r/>
            <w:r>
              <w:rPr>
                <w:rFonts w:ascii="宋体" w:hAnsi="宋体" w:eastAsia="宋体"/>
                <w:sz w:val="21"/>
              </w:rPr>
              <w:t>性能优化</w:t>
            </w:r>
          </w:p>
        </w:tc>
        <w:tc>
          <w:tcPr>
            <w:tcW w:type="dxa" w:w="3402"/>
          </w:tcPr>
          <w:p>
            <w:pPr>
              <w:jc w:val="center"/>
            </w:pPr>
            <w:r/>
            <w:r>
              <w:rPr>
                <w:rFonts w:ascii="宋体" w:hAnsi="宋体" w:eastAsia="宋体"/>
                <w:sz w:val="21"/>
              </w:rPr>
              <w:t>Redis缓存热点数据 + 数据库索引优化 + CDN静态资源加速</w:t>
            </w:r>
          </w:p>
        </w:tc>
        <w:tc>
          <w:tcPr>
            <w:tcW w:type="dxa" w:w="2551"/>
          </w:tcPr>
          <w:p>
            <w:pPr>
              <w:jc w:val="center"/>
            </w:pPr>
            <w:r/>
            <w:r>
              <w:rPr>
                <w:rFonts w:ascii="宋体" w:hAnsi="宋体" w:eastAsia="宋体"/>
                <w:sz w:val="21"/>
              </w:rPr>
              <w:t>API平均响应&lt;200ms</w:t>
            </w:r>
          </w:p>
        </w:tc>
      </w:tr>
      <w:tr>
        <w:tc>
          <w:tcPr>
            <w:tcW w:type="dxa" w:w="1701"/>
            <w:shd w:fill="EBF0F7"/>
          </w:tcPr>
          <w:p>
            <w:pPr>
              <w:jc w:val="center"/>
            </w:pPr>
            <w:r/>
            <w:r>
              <w:rPr>
                <w:rFonts w:ascii="宋体" w:hAnsi="宋体" w:eastAsia="宋体"/>
                <w:sz w:val="21"/>
              </w:rPr>
              <w:t>安全防护</w:t>
            </w:r>
          </w:p>
        </w:tc>
        <w:tc>
          <w:tcPr>
            <w:tcW w:type="dxa" w:w="3402"/>
            <w:shd w:fill="EBF0F7"/>
          </w:tcPr>
          <w:p>
            <w:pPr>
              <w:jc w:val="center"/>
            </w:pPr>
            <w:r/>
            <w:r>
              <w:rPr>
                <w:rFonts w:ascii="宋体" w:hAnsi="宋体" w:eastAsia="宋体"/>
                <w:sz w:val="21"/>
              </w:rPr>
              <w:t>Nginx反向代理 + HTTPS/TLS + API速率限制 + 参数校验</w:t>
            </w:r>
          </w:p>
        </w:tc>
        <w:tc>
          <w:tcPr>
            <w:tcW w:type="dxa" w:w="2551"/>
            <w:shd w:fill="EBF0F7"/>
          </w:tcPr>
          <w:p>
            <w:pPr>
              <w:jc w:val="center"/>
            </w:pPr>
            <w:r/>
            <w:r>
              <w:rPr>
                <w:rFonts w:ascii="宋体" w:hAnsi="宋体" w:eastAsia="宋体"/>
                <w:sz w:val="21"/>
              </w:rPr>
              <w:t>零安全事故</w:t>
            </w:r>
          </w:p>
        </w:tc>
      </w:tr>
    </w:tbl>
    <w:p/>
    <w:p>
      <w:pPr>
        <w:spacing w:before="240" w:after="120" w:line="288" w:lineRule="auto"/>
      </w:pPr>
      <w:r>
        <w:rPr>
          <w:rFonts w:ascii="宋体" w:hAnsi="宋体" w:eastAsia="宋体"/>
          <w:b/>
          <w:sz w:val="24"/>
        </w:rPr>
        <w:t>7.3 数据安全与合规</w:t>
      </w:r>
    </w:p>
    <w:p>
      <w:pPr>
        <w:spacing w:line="288" w:lineRule="auto" w:after="80"/>
        <w:ind w:firstLine="480"/>
      </w:pPr>
      <w:r>
        <w:rPr>
          <w:rFonts w:ascii="宋体" w:hAnsi="宋体" w:eastAsia="宋体"/>
          <w:sz w:val="24"/>
        </w:rPr>
        <w:t>数据安全方面：用户密码使用bcrypt算法加密存储（不可逆），敏感配置信息使用AES-256加密。系统通过JWT（JSON Web Token）实现用户身份认证，Token有效期24小时。所有API接口强制HTTPS传输，防止数据在传输过程中被窃取或篡改。数据库访问采用最小权限原则，应用层账号仅有必要的读写权限，不具备DDL操作权限。</w:t>
      </w:r>
    </w:p>
    <w:p>
      <w:pPr>
        <w:spacing w:line="288" w:lineRule="auto" w:after="80"/>
        <w:ind w:firstLine="480"/>
      </w:pPr>
      <w:r>
        <w:rPr>
          <w:rFonts w:ascii="宋体" w:hAnsi="宋体" w:eastAsia="宋体"/>
          <w:sz w:val="24"/>
        </w:rPr>
        <w:t>金融合规方面：融衔严格遵守中国证监会关于证券投资咨询业务的相关监管规定。平台在所有页面的显著位置标注"本系统仅供研究和辅助分析使用，不构成任何投资建议"的免责声明。平台不接入任何券商的交易接口，不执行任何实际的股票买卖操作，不收取任何形式的投资收益分成或利润分成。平台的数据来源均为公开的市场数据和财务数据，不涉及内幕信息或非公开信息。</w:t>
      </w:r>
    </w:p>
    <w:p>
      <w:pPr>
        <w:spacing w:line="288" w:lineRule="auto" w:after="80"/>
        <w:ind w:firstLine="480"/>
      </w:pPr>
      <w:r>
        <w:rPr>
          <w:rFonts w:ascii="宋体" w:hAnsi="宋体" w:eastAsia="宋体"/>
          <w:sz w:val="24"/>
        </w:rPr>
        <w:t>知识产权方面：核心评分算法和系统软件申请软件著作权保护，品牌名称和Logo申请商标注册。开源代码采用MIT协议，尊重社区贡献者的知识产权。</w:t>
      </w:r>
    </w:p>
    <w:p>
      <w:pPr>
        <w:spacing w:line="288" w:lineRule="auto" w:after="80"/>
        <w:ind w:firstLine="480"/>
      </w:pPr>
      <w:r>
        <w:rPr>
          <w:rFonts w:ascii="宋体" w:hAnsi="宋体" w:eastAsia="宋体"/>
          <w:sz w:val="24"/>
        </w:rPr>
        <w:t>在数据安全的技术实现层面，我们还采用了以下具体措施：网络层通过Nginx反向代理配置HTTPS强制跳转和安全响应头（如X-Frame-Options、Content-Security-Policy等），抵御常见的Web攻击；应用层通过API速率限制（Rate Limiting）防止恶意请求和爬虫，对所有用户输入进行参数校验和SQL注入防护；数据层对敏感字段进行加密存储，并通过数据库访问审计记录所有数据操作日志。此外，我们建立了安全事件响应预案：发现安全事件后30分钟内启动应急响应，2小时内完成初步影响评估和处置，24小时内提交完整的事件报告和修复方案。</w:t>
      </w:r>
    </w:p>
    <w:p>
      <w:r>
        <w:br w:type="page"/>
      </w:r>
    </w:p>
    <w:p>
      <w:pPr>
        <w:spacing w:before="360" w:after="200" w:line="288" w:lineRule="auto"/>
      </w:pPr>
      <w:r>
        <w:rPr>
          <w:rFonts w:ascii="宋体" w:hAnsi="宋体" w:eastAsia="宋体"/>
          <w:b/>
          <w:color w:val="1A3C6E"/>
          <w:sz w:val="28"/>
        </w:rPr>
        <w:t>八、财务分析与预测</w:t>
      </w:r>
    </w:p>
    <w:p>
      <w:pPr>
        <w:spacing w:before="240" w:after="120" w:line="288" w:lineRule="auto"/>
      </w:pPr>
      <w:r>
        <w:rPr>
          <w:rFonts w:ascii="宋体" w:hAnsi="宋体" w:eastAsia="宋体"/>
          <w:b/>
          <w:sz w:val="24"/>
        </w:rPr>
        <w:t>8.1 启动资金需求</w:t>
      </w:r>
    </w:p>
    <w:p>
      <w:pPr>
        <w:spacing w:line="288" w:lineRule="auto" w:after="80"/>
        <w:ind w:firstLine="480"/>
      </w:pPr>
      <w:r>
        <w:rPr>
          <w:rFonts w:ascii="宋体" w:hAnsi="宋体" w:eastAsia="宋体"/>
          <w:sz w:val="24"/>
        </w:rPr>
        <w:t>项目启动阶段（前12个月）计划融资500万元人民币，分配如下：</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1701"/>
            <w:shd w:fill="1A3C6E"/>
          </w:tcPr>
          <w:p>
            <w:pPr>
              <w:jc w:val="center"/>
            </w:pPr>
            <w:r/>
            <w:r>
              <w:rPr>
                <w:rFonts w:ascii="黑体" w:hAnsi="黑体" w:eastAsia="黑体"/>
                <w:b/>
                <w:color w:val="FFFFFF"/>
                <w:sz w:val="21"/>
              </w:rPr>
              <w:t>用途</w:t>
            </w:r>
          </w:p>
        </w:tc>
        <w:tc>
          <w:tcPr>
            <w:tcW w:type="dxa" w:w="1417"/>
            <w:shd w:fill="1A3C6E"/>
          </w:tcPr>
          <w:p>
            <w:pPr>
              <w:jc w:val="center"/>
            </w:pPr>
            <w:r/>
            <w:r>
              <w:rPr>
                <w:rFonts w:ascii="黑体" w:hAnsi="黑体" w:eastAsia="黑体"/>
                <w:b/>
                <w:color w:val="FFFFFF"/>
                <w:sz w:val="21"/>
              </w:rPr>
              <w:t>金额（万元）</w:t>
            </w:r>
          </w:p>
        </w:tc>
        <w:tc>
          <w:tcPr>
            <w:tcW w:type="dxa" w:w="1134"/>
            <w:shd w:fill="1A3C6E"/>
          </w:tcPr>
          <w:p>
            <w:pPr>
              <w:jc w:val="center"/>
            </w:pPr>
            <w:r/>
            <w:r>
              <w:rPr>
                <w:rFonts w:ascii="黑体" w:hAnsi="黑体" w:eastAsia="黑体"/>
                <w:b/>
                <w:color w:val="FFFFFF"/>
                <w:sz w:val="21"/>
              </w:rPr>
              <w:t>占比</w:t>
            </w:r>
          </w:p>
        </w:tc>
        <w:tc>
          <w:tcPr>
            <w:tcW w:type="dxa" w:w="3402"/>
            <w:shd w:fill="1A3C6E"/>
          </w:tcPr>
          <w:p>
            <w:pPr>
              <w:jc w:val="center"/>
            </w:pPr>
            <w:r/>
            <w:r>
              <w:rPr>
                <w:rFonts w:ascii="黑体" w:hAnsi="黑体" w:eastAsia="黑体"/>
                <w:b/>
                <w:color w:val="FFFFFF"/>
                <w:sz w:val="21"/>
              </w:rPr>
              <w:t>说明</w:t>
            </w:r>
          </w:p>
        </w:tc>
      </w:tr>
      <w:tr>
        <w:tc>
          <w:tcPr>
            <w:tcW w:type="dxa" w:w="1701"/>
            <w:shd w:fill="EBF0F7"/>
          </w:tcPr>
          <w:p>
            <w:pPr>
              <w:jc w:val="center"/>
            </w:pPr>
            <w:r/>
            <w:r>
              <w:rPr>
                <w:rFonts w:ascii="宋体" w:hAnsi="宋体" w:eastAsia="宋体"/>
                <w:sz w:val="21"/>
              </w:rPr>
              <w:t>产品研发</w:t>
            </w:r>
          </w:p>
        </w:tc>
        <w:tc>
          <w:tcPr>
            <w:tcW w:type="dxa" w:w="1417"/>
            <w:shd w:fill="EBF0F7"/>
          </w:tcPr>
          <w:p>
            <w:pPr>
              <w:jc w:val="center"/>
            </w:pPr>
            <w:r/>
            <w:r>
              <w:rPr>
                <w:rFonts w:ascii="宋体" w:hAnsi="宋体" w:eastAsia="宋体"/>
                <w:sz w:val="21"/>
              </w:rPr>
              <w:t>200</w:t>
            </w:r>
          </w:p>
        </w:tc>
        <w:tc>
          <w:tcPr>
            <w:tcW w:type="dxa" w:w="1134"/>
            <w:shd w:fill="EBF0F7"/>
          </w:tcPr>
          <w:p>
            <w:pPr>
              <w:jc w:val="center"/>
            </w:pPr>
            <w:r/>
            <w:r>
              <w:rPr>
                <w:rFonts w:ascii="宋体" w:hAnsi="宋体" w:eastAsia="宋体"/>
                <w:sz w:val="21"/>
              </w:rPr>
              <w:t>40%</w:t>
            </w:r>
          </w:p>
        </w:tc>
        <w:tc>
          <w:tcPr>
            <w:tcW w:type="dxa" w:w="3402"/>
            <w:shd w:fill="EBF0F7"/>
          </w:tcPr>
          <w:p>
            <w:pPr>
              <w:jc w:val="center"/>
            </w:pPr>
            <w:r/>
            <w:r>
              <w:rPr>
                <w:rFonts w:ascii="宋体" w:hAnsi="宋体" w:eastAsia="宋体"/>
                <w:sz w:val="21"/>
              </w:rPr>
              <w:t>核心开发团队3-5人薪酬、开发工具和云服务费用</w:t>
            </w:r>
          </w:p>
        </w:tc>
      </w:tr>
      <w:tr>
        <w:tc>
          <w:tcPr>
            <w:tcW w:type="dxa" w:w="1701"/>
          </w:tcPr>
          <w:p>
            <w:pPr>
              <w:jc w:val="center"/>
            </w:pPr>
            <w:r/>
            <w:r>
              <w:rPr>
                <w:rFonts w:ascii="宋体" w:hAnsi="宋体" w:eastAsia="宋体"/>
                <w:sz w:val="21"/>
              </w:rPr>
              <w:t>市场推广</w:t>
            </w:r>
          </w:p>
        </w:tc>
        <w:tc>
          <w:tcPr>
            <w:tcW w:type="dxa" w:w="1417"/>
          </w:tcPr>
          <w:p>
            <w:pPr>
              <w:jc w:val="center"/>
            </w:pPr>
            <w:r/>
            <w:r>
              <w:rPr>
                <w:rFonts w:ascii="宋体" w:hAnsi="宋体" w:eastAsia="宋体"/>
                <w:sz w:val="21"/>
              </w:rPr>
              <w:t>150</w:t>
            </w:r>
          </w:p>
        </w:tc>
        <w:tc>
          <w:tcPr>
            <w:tcW w:type="dxa" w:w="1134"/>
          </w:tcPr>
          <w:p>
            <w:pPr>
              <w:jc w:val="center"/>
            </w:pPr>
            <w:r/>
            <w:r>
              <w:rPr>
                <w:rFonts w:ascii="宋体" w:hAnsi="宋体" w:eastAsia="宋体"/>
                <w:sz w:val="21"/>
              </w:rPr>
              <w:t>30%</w:t>
            </w:r>
          </w:p>
        </w:tc>
        <w:tc>
          <w:tcPr>
            <w:tcW w:type="dxa" w:w="3402"/>
          </w:tcPr>
          <w:p>
            <w:pPr>
              <w:jc w:val="center"/>
            </w:pPr>
            <w:r/>
            <w:r>
              <w:rPr>
                <w:rFonts w:ascii="宋体" w:hAnsi="宋体" w:eastAsia="宋体"/>
                <w:sz w:val="21"/>
              </w:rPr>
              <w:t>内容制作、社区运营、SEO优化、KOL合作、线下活动</w:t>
            </w:r>
          </w:p>
        </w:tc>
      </w:tr>
      <w:tr>
        <w:tc>
          <w:tcPr>
            <w:tcW w:type="dxa" w:w="1701"/>
            <w:shd w:fill="EBF0F7"/>
          </w:tcPr>
          <w:p>
            <w:pPr>
              <w:jc w:val="center"/>
            </w:pPr>
            <w:r/>
            <w:r>
              <w:rPr>
                <w:rFonts w:ascii="宋体" w:hAnsi="宋体" w:eastAsia="宋体"/>
                <w:sz w:val="21"/>
              </w:rPr>
              <w:t>运营支出</w:t>
            </w:r>
          </w:p>
        </w:tc>
        <w:tc>
          <w:tcPr>
            <w:tcW w:type="dxa" w:w="1417"/>
            <w:shd w:fill="EBF0F7"/>
          </w:tcPr>
          <w:p>
            <w:pPr>
              <w:jc w:val="center"/>
            </w:pPr>
            <w:r/>
            <w:r>
              <w:rPr>
                <w:rFonts w:ascii="宋体" w:hAnsi="宋体" w:eastAsia="宋体"/>
                <w:sz w:val="21"/>
              </w:rPr>
              <w:t>100</w:t>
            </w:r>
          </w:p>
        </w:tc>
        <w:tc>
          <w:tcPr>
            <w:tcW w:type="dxa" w:w="1134"/>
            <w:shd w:fill="EBF0F7"/>
          </w:tcPr>
          <w:p>
            <w:pPr>
              <w:jc w:val="center"/>
            </w:pPr>
            <w:r/>
            <w:r>
              <w:rPr>
                <w:rFonts w:ascii="宋体" w:hAnsi="宋体" w:eastAsia="宋体"/>
                <w:sz w:val="21"/>
              </w:rPr>
              <w:t>20%</w:t>
            </w:r>
          </w:p>
        </w:tc>
        <w:tc>
          <w:tcPr>
            <w:tcW w:type="dxa" w:w="3402"/>
            <w:shd w:fill="EBF0F7"/>
          </w:tcPr>
          <w:p>
            <w:pPr>
              <w:jc w:val="center"/>
            </w:pPr>
            <w:r/>
            <w:r>
              <w:rPr>
                <w:rFonts w:ascii="宋体" w:hAnsi="宋体" w:eastAsia="宋体"/>
                <w:sz w:val="21"/>
              </w:rPr>
              <w:t>办公场地、服务器托管、数据源API费用、法务财务</w:t>
            </w:r>
          </w:p>
        </w:tc>
      </w:tr>
      <w:tr>
        <w:tc>
          <w:tcPr>
            <w:tcW w:type="dxa" w:w="1701"/>
          </w:tcPr>
          <w:p>
            <w:pPr>
              <w:jc w:val="center"/>
            </w:pPr>
            <w:r/>
            <w:r>
              <w:rPr>
                <w:rFonts w:ascii="宋体" w:hAnsi="宋体" w:eastAsia="宋体"/>
                <w:sz w:val="21"/>
              </w:rPr>
              <w:t>风险储备</w:t>
            </w:r>
          </w:p>
        </w:tc>
        <w:tc>
          <w:tcPr>
            <w:tcW w:type="dxa" w:w="1417"/>
          </w:tcPr>
          <w:p>
            <w:pPr>
              <w:jc w:val="center"/>
            </w:pPr>
            <w:r/>
            <w:r>
              <w:rPr>
                <w:rFonts w:ascii="宋体" w:hAnsi="宋体" w:eastAsia="宋体"/>
                <w:sz w:val="21"/>
              </w:rPr>
              <w:t>50</w:t>
            </w:r>
          </w:p>
        </w:tc>
        <w:tc>
          <w:tcPr>
            <w:tcW w:type="dxa" w:w="1134"/>
          </w:tcPr>
          <w:p>
            <w:pPr>
              <w:jc w:val="center"/>
            </w:pPr>
            <w:r/>
            <w:r>
              <w:rPr>
                <w:rFonts w:ascii="宋体" w:hAnsi="宋体" w:eastAsia="宋体"/>
                <w:sz w:val="21"/>
              </w:rPr>
              <w:t>10%</w:t>
            </w:r>
          </w:p>
        </w:tc>
        <w:tc>
          <w:tcPr>
            <w:tcW w:type="dxa" w:w="3402"/>
          </w:tcPr>
          <w:p>
            <w:pPr>
              <w:jc w:val="center"/>
            </w:pPr>
            <w:r/>
            <w:r>
              <w:rPr>
                <w:rFonts w:ascii="宋体" w:hAnsi="宋体" w:eastAsia="宋体"/>
                <w:sz w:val="21"/>
              </w:rPr>
              <w:t>应急资金，应对不可预见的支出</w:t>
            </w:r>
          </w:p>
        </w:tc>
      </w:tr>
    </w:tbl>
    <w:p/>
    <w:p>
      <w:pPr>
        <w:spacing w:before="240" w:after="120" w:line="288" w:lineRule="auto"/>
      </w:pPr>
      <w:r>
        <w:rPr>
          <w:rFonts w:ascii="宋体" w:hAnsi="宋体" w:eastAsia="宋体"/>
          <w:b/>
          <w:sz w:val="24"/>
        </w:rPr>
        <w:t>8.2 收入与成本预测</w:t>
      </w:r>
    </w:p>
    <w:p>
      <w:pPr>
        <w:spacing w:line="288" w:lineRule="auto" w:after="80"/>
        <w:ind w:firstLine="480"/>
      </w:pPr>
      <w:r>
        <w:rPr>
          <w:rFonts w:ascii="宋体" w:hAnsi="宋体" w:eastAsia="宋体"/>
          <w:sz w:val="24"/>
        </w:rPr>
        <w:t>收入预测基于以下核心假设：注册用户月增长率第一年约10%-15%，第二年起逐步放缓至8%-10%；付费转化率从第一年的5%逐步提升至第五年的10%；年ARPU值（每付费用户年均收入）从第一年的800元提升至第五年的1100元。需要说明的是，以下预测属于保守估计，实际增长可能受市场环境、竞争态势等因素影响而有较大偏差。</w:t>
      </w:r>
    </w:p>
    <w:p>
      <w:pPr>
        <w:jc w:val="center"/>
      </w:pPr>
      <w:r>
        <w:drawing>
          <wp:inline xmlns:a="http://schemas.openxmlformats.org/drawingml/2006/main" xmlns:pic="http://schemas.openxmlformats.org/drawingml/2006/picture">
            <wp:extent cx="5040000" cy="279811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40000" cy="2798113"/>
                    </a:xfrm>
                    <a:prstGeom prst="rect"/>
                  </pic:spPr>
                </pic:pic>
              </a:graphicData>
            </a:graphic>
          </wp:inline>
        </w:drawing>
      </w:r>
    </w:p>
    <w:p>
      <w:pPr>
        <w:jc w:val="center"/>
      </w:pPr>
      <w:r>
        <w:rPr>
          <w:rFonts w:ascii="宋体" w:hAnsi="宋体" w:eastAsia="宋体"/>
          <w:i/>
          <w:color w:val="666666"/>
          <w:sz w:val="21"/>
        </w:rPr>
        <w:t>图8-1 五年营收预测（保守估计）</w:t>
      </w:r>
    </w:p>
    <w:tbl>
      <w:tblPr>
        <w:tblStyle w:val="TableGrid"/>
        <w:tblW w:type="auto" w:w="0"/>
        <w:jc w:val="center"/>
        <w:tblLook w:firstColumn="1" w:firstRow="1" w:lastColumn="0" w:lastRow="0" w:noHBand="0" w:noVBand="1" w:val="04A0"/>
      </w:tblPr>
      <w:tblGrid>
        <w:gridCol w:w="1383"/>
        <w:gridCol w:w="1383"/>
        <w:gridCol w:w="1383"/>
        <w:gridCol w:w="1383"/>
        <w:gridCol w:w="1383"/>
        <w:gridCol w:w="1383"/>
      </w:tblGrid>
      <w:tr>
        <w:tc>
          <w:tcPr>
            <w:tcW w:type="dxa" w:w="850"/>
            <w:shd w:fill="1A3C6E"/>
          </w:tcPr>
          <w:p>
            <w:pPr>
              <w:jc w:val="center"/>
            </w:pPr>
            <w:r/>
            <w:r>
              <w:rPr>
                <w:rFonts w:ascii="黑体" w:hAnsi="黑体" w:eastAsia="黑体"/>
                <w:b/>
                <w:color w:val="FFFFFF"/>
                <w:sz w:val="21"/>
              </w:rPr>
              <w:t>年份</w:t>
            </w:r>
          </w:p>
        </w:tc>
        <w:tc>
          <w:tcPr>
            <w:tcW w:type="dxa" w:w="1417"/>
            <w:shd w:fill="1A3C6E"/>
          </w:tcPr>
          <w:p>
            <w:pPr>
              <w:jc w:val="center"/>
            </w:pPr>
            <w:r/>
            <w:r>
              <w:rPr>
                <w:rFonts w:ascii="黑体" w:hAnsi="黑体" w:eastAsia="黑体"/>
                <w:b/>
                <w:color w:val="FFFFFF"/>
                <w:sz w:val="21"/>
              </w:rPr>
              <w:t>预计注册用户</w:t>
            </w:r>
          </w:p>
        </w:tc>
        <w:tc>
          <w:tcPr>
            <w:tcW w:type="dxa" w:w="1417"/>
            <w:shd w:fill="1A3C6E"/>
          </w:tcPr>
          <w:p>
            <w:pPr>
              <w:jc w:val="center"/>
            </w:pPr>
            <w:r/>
            <w:r>
              <w:rPr>
                <w:rFonts w:ascii="黑体" w:hAnsi="黑体" w:eastAsia="黑体"/>
                <w:b/>
                <w:color w:val="FFFFFF"/>
                <w:sz w:val="21"/>
              </w:rPr>
              <w:t>预计付费用户</w:t>
            </w:r>
          </w:p>
        </w:tc>
        <w:tc>
          <w:tcPr>
            <w:tcW w:type="dxa" w:w="1417"/>
            <w:shd w:fill="1A3C6E"/>
          </w:tcPr>
          <w:p>
            <w:pPr>
              <w:jc w:val="center"/>
            </w:pPr>
            <w:r/>
            <w:r>
              <w:rPr>
                <w:rFonts w:ascii="黑体" w:hAnsi="黑体" w:eastAsia="黑体"/>
                <w:b/>
                <w:color w:val="FFFFFF"/>
                <w:sz w:val="21"/>
              </w:rPr>
              <w:t>订阅收入（万）</w:t>
            </w:r>
          </w:p>
        </w:tc>
        <w:tc>
          <w:tcPr>
            <w:tcW w:type="dxa" w:w="1417"/>
            <w:shd w:fill="1A3C6E"/>
          </w:tcPr>
          <w:p>
            <w:pPr>
              <w:jc w:val="center"/>
            </w:pPr>
            <w:r/>
            <w:r>
              <w:rPr>
                <w:rFonts w:ascii="黑体" w:hAnsi="黑体" w:eastAsia="黑体"/>
                <w:b/>
                <w:color w:val="FFFFFF"/>
                <w:sz w:val="21"/>
              </w:rPr>
              <w:t>API+咨询（万）</w:t>
            </w:r>
          </w:p>
        </w:tc>
        <w:tc>
          <w:tcPr>
            <w:tcW w:type="dxa" w:w="1417"/>
            <w:shd w:fill="1A3C6E"/>
          </w:tcPr>
          <w:p>
            <w:pPr>
              <w:jc w:val="center"/>
            </w:pPr>
            <w:r/>
            <w:r>
              <w:rPr>
                <w:rFonts w:ascii="黑体" w:hAnsi="黑体" w:eastAsia="黑体"/>
                <w:b/>
                <w:color w:val="FFFFFF"/>
                <w:sz w:val="21"/>
              </w:rPr>
              <w:t>总营收（万）</w:t>
            </w:r>
          </w:p>
        </w:tc>
      </w:tr>
      <w:tr>
        <w:tc>
          <w:tcPr>
            <w:tcW w:type="dxa" w:w="850"/>
            <w:shd w:fill="EBF0F7"/>
          </w:tcPr>
          <w:p>
            <w:pPr>
              <w:jc w:val="center"/>
            </w:pPr>
            <w:r/>
            <w:r>
              <w:rPr>
                <w:rFonts w:ascii="宋体" w:hAnsi="宋体" w:eastAsia="宋体"/>
                <w:sz w:val="21"/>
              </w:rPr>
              <w:t>第1年</w:t>
            </w:r>
          </w:p>
        </w:tc>
        <w:tc>
          <w:tcPr>
            <w:tcW w:type="dxa" w:w="1417"/>
            <w:shd w:fill="EBF0F7"/>
          </w:tcPr>
          <w:p>
            <w:pPr>
              <w:jc w:val="center"/>
            </w:pPr>
            <w:r/>
            <w:r>
              <w:rPr>
                <w:rFonts w:ascii="宋体" w:hAnsi="宋体" w:eastAsia="宋体"/>
                <w:sz w:val="21"/>
              </w:rPr>
              <w:t>3,000</w:t>
            </w:r>
          </w:p>
        </w:tc>
        <w:tc>
          <w:tcPr>
            <w:tcW w:type="dxa" w:w="1417"/>
            <w:shd w:fill="EBF0F7"/>
          </w:tcPr>
          <w:p>
            <w:pPr>
              <w:jc w:val="center"/>
            </w:pPr>
            <w:r/>
            <w:r>
              <w:rPr>
                <w:rFonts w:ascii="宋体" w:hAnsi="宋体" w:eastAsia="宋体"/>
                <w:sz w:val="21"/>
              </w:rPr>
              <w:t>150</w:t>
            </w:r>
          </w:p>
        </w:tc>
        <w:tc>
          <w:tcPr>
            <w:tcW w:type="dxa" w:w="1417"/>
            <w:shd w:fill="EBF0F7"/>
          </w:tcPr>
          <w:p>
            <w:pPr>
              <w:jc w:val="center"/>
            </w:pPr>
            <w:r/>
            <w:r>
              <w:rPr>
                <w:rFonts w:ascii="宋体" w:hAnsi="宋体" w:eastAsia="宋体"/>
                <w:sz w:val="21"/>
              </w:rPr>
              <w:t>80</w:t>
            </w:r>
          </w:p>
        </w:tc>
        <w:tc>
          <w:tcPr>
            <w:tcW w:type="dxa" w:w="1417"/>
            <w:shd w:fill="EBF0F7"/>
          </w:tcPr>
          <w:p>
            <w:pPr>
              <w:jc w:val="center"/>
            </w:pPr>
            <w:r/>
            <w:r>
              <w:rPr>
                <w:rFonts w:ascii="宋体" w:hAnsi="宋体" w:eastAsia="宋体"/>
                <w:sz w:val="21"/>
              </w:rPr>
              <w:t>50</w:t>
            </w:r>
          </w:p>
        </w:tc>
        <w:tc>
          <w:tcPr>
            <w:tcW w:type="dxa" w:w="1417"/>
            <w:shd w:fill="EBF0F7"/>
          </w:tcPr>
          <w:p>
            <w:pPr>
              <w:jc w:val="center"/>
            </w:pPr>
            <w:r/>
            <w:r>
              <w:rPr>
                <w:rFonts w:ascii="宋体" w:hAnsi="宋体" w:eastAsia="宋体"/>
                <w:sz w:val="21"/>
              </w:rPr>
              <w:t>130</w:t>
            </w:r>
          </w:p>
        </w:tc>
      </w:tr>
      <w:tr>
        <w:tc>
          <w:tcPr>
            <w:tcW w:type="dxa" w:w="850"/>
          </w:tcPr>
          <w:p>
            <w:pPr>
              <w:jc w:val="center"/>
            </w:pPr>
            <w:r/>
            <w:r>
              <w:rPr>
                <w:rFonts w:ascii="宋体" w:hAnsi="宋体" w:eastAsia="宋体"/>
                <w:sz w:val="21"/>
              </w:rPr>
              <w:t>第2年</w:t>
            </w:r>
          </w:p>
        </w:tc>
        <w:tc>
          <w:tcPr>
            <w:tcW w:type="dxa" w:w="1417"/>
          </w:tcPr>
          <w:p>
            <w:pPr>
              <w:jc w:val="center"/>
            </w:pPr>
            <w:r/>
            <w:r>
              <w:rPr>
                <w:rFonts w:ascii="宋体" w:hAnsi="宋体" w:eastAsia="宋体"/>
                <w:sz w:val="21"/>
              </w:rPr>
              <w:t>12,000</w:t>
            </w:r>
          </w:p>
        </w:tc>
        <w:tc>
          <w:tcPr>
            <w:tcW w:type="dxa" w:w="1417"/>
          </w:tcPr>
          <w:p>
            <w:pPr>
              <w:jc w:val="center"/>
            </w:pPr>
            <w:r/>
            <w:r>
              <w:rPr>
                <w:rFonts w:ascii="宋体" w:hAnsi="宋体" w:eastAsia="宋体"/>
                <w:sz w:val="21"/>
              </w:rPr>
              <w:t>720</w:t>
            </w:r>
          </w:p>
        </w:tc>
        <w:tc>
          <w:tcPr>
            <w:tcW w:type="dxa" w:w="1417"/>
          </w:tcPr>
          <w:p>
            <w:pPr>
              <w:jc w:val="center"/>
            </w:pPr>
            <w:r/>
            <w:r>
              <w:rPr>
                <w:rFonts w:ascii="宋体" w:hAnsi="宋体" w:eastAsia="宋体"/>
                <w:sz w:val="21"/>
              </w:rPr>
              <w:t>320</w:t>
            </w:r>
          </w:p>
        </w:tc>
        <w:tc>
          <w:tcPr>
            <w:tcW w:type="dxa" w:w="1417"/>
          </w:tcPr>
          <w:p>
            <w:pPr>
              <w:jc w:val="center"/>
            </w:pPr>
            <w:r/>
            <w:r>
              <w:rPr>
                <w:rFonts w:ascii="宋体" w:hAnsi="宋体" w:eastAsia="宋体"/>
                <w:sz w:val="21"/>
              </w:rPr>
              <w:t>220</w:t>
            </w:r>
          </w:p>
        </w:tc>
        <w:tc>
          <w:tcPr>
            <w:tcW w:type="dxa" w:w="1417"/>
          </w:tcPr>
          <w:p>
            <w:pPr>
              <w:jc w:val="center"/>
            </w:pPr>
            <w:r/>
            <w:r>
              <w:rPr>
                <w:rFonts w:ascii="宋体" w:hAnsi="宋体" w:eastAsia="宋体"/>
                <w:sz w:val="21"/>
              </w:rPr>
              <w:t>540</w:t>
            </w:r>
          </w:p>
        </w:tc>
      </w:tr>
      <w:tr>
        <w:tc>
          <w:tcPr>
            <w:tcW w:type="dxa" w:w="850"/>
            <w:shd w:fill="EBF0F7"/>
          </w:tcPr>
          <w:p>
            <w:pPr>
              <w:jc w:val="center"/>
            </w:pPr>
            <w:r/>
            <w:r>
              <w:rPr>
                <w:rFonts w:ascii="宋体" w:hAnsi="宋体" w:eastAsia="宋体"/>
                <w:sz w:val="21"/>
              </w:rPr>
              <w:t>第3年</w:t>
            </w:r>
          </w:p>
        </w:tc>
        <w:tc>
          <w:tcPr>
            <w:tcW w:type="dxa" w:w="1417"/>
            <w:shd w:fill="EBF0F7"/>
          </w:tcPr>
          <w:p>
            <w:pPr>
              <w:jc w:val="center"/>
            </w:pPr>
            <w:r/>
            <w:r>
              <w:rPr>
                <w:rFonts w:ascii="宋体" w:hAnsi="宋体" w:eastAsia="宋体"/>
                <w:sz w:val="21"/>
              </w:rPr>
              <w:t>35,000</w:t>
            </w:r>
          </w:p>
        </w:tc>
        <w:tc>
          <w:tcPr>
            <w:tcW w:type="dxa" w:w="1417"/>
            <w:shd w:fill="EBF0F7"/>
          </w:tcPr>
          <w:p>
            <w:pPr>
              <w:jc w:val="center"/>
            </w:pPr>
            <w:r/>
            <w:r>
              <w:rPr>
                <w:rFonts w:ascii="宋体" w:hAnsi="宋体" w:eastAsia="宋体"/>
                <w:sz w:val="21"/>
              </w:rPr>
              <w:t>2,800</w:t>
            </w:r>
          </w:p>
        </w:tc>
        <w:tc>
          <w:tcPr>
            <w:tcW w:type="dxa" w:w="1417"/>
            <w:shd w:fill="EBF0F7"/>
          </w:tcPr>
          <w:p>
            <w:pPr>
              <w:jc w:val="center"/>
            </w:pPr>
            <w:r/>
            <w:r>
              <w:rPr>
                <w:rFonts w:ascii="宋体" w:hAnsi="宋体" w:eastAsia="宋体"/>
                <w:sz w:val="21"/>
              </w:rPr>
              <w:t>900</w:t>
            </w:r>
          </w:p>
        </w:tc>
        <w:tc>
          <w:tcPr>
            <w:tcW w:type="dxa" w:w="1417"/>
            <w:shd w:fill="EBF0F7"/>
          </w:tcPr>
          <w:p>
            <w:pPr>
              <w:jc w:val="center"/>
            </w:pPr>
            <w:r/>
            <w:r>
              <w:rPr>
                <w:rFonts w:ascii="宋体" w:hAnsi="宋体" w:eastAsia="宋体"/>
                <w:sz w:val="21"/>
              </w:rPr>
              <w:t>750</w:t>
            </w:r>
          </w:p>
        </w:tc>
        <w:tc>
          <w:tcPr>
            <w:tcW w:type="dxa" w:w="1417"/>
            <w:shd w:fill="EBF0F7"/>
          </w:tcPr>
          <w:p>
            <w:pPr>
              <w:jc w:val="center"/>
            </w:pPr>
            <w:r/>
            <w:r>
              <w:rPr>
                <w:rFonts w:ascii="宋体" w:hAnsi="宋体" w:eastAsia="宋体"/>
                <w:sz w:val="21"/>
              </w:rPr>
              <w:t>1,650</w:t>
            </w:r>
          </w:p>
        </w:tc>
      </w:tr>
      <w:tr>
        <w:tc>
          <w:tcPr>
            <w:tcW w:type="dxa" w:w="850"/>
          </w:tcPr>
          <w:p>
            <w:pPr>
              <w:jc w:val="center"/>
            </w:pPr>
            <w:r/>
            <w:r>
              <w:rPr>
                <w:rFonts w:ascii="宋体" w:hAnsi="宋体" w:eastAsia="宋体"/>
                <w:sz w:val="21"/>
              </w:rPr>
              <w:t>第4年</w:t>
            </w:r>
          </w:p>
        </w:tc>
        <w:tc>
          <w:tcPr>
            <w:tcW w:type="dxa" w:w="1417"/>
          </w:tcPr>
          <w:p>
            <w:pPr>
              <w:jc w:val="center"/>
            </w:pPr>
            <w:r/>
            <w:r>
              <w:rPr>
                <w:rFonts w:ascii="宋体" w:hAnsi="宋体" w:eastAsia="宋体"/>
                <w:sz w:val="21"/>
              </w:rPr>
              <w:t>80,000</w:t>
            </w:r>
          </w:p>
        </w:tc>
        <w:tc>
          <w:tcPr>
            <w:tcW w:type="dxa" w:w="1417"/>
          </w:tcPr>
          <w:p>
            <w:pPr>
              <w:jc w:val="center"/>
            </w:pPr>
            <w:r/>
            <w:r>
              <w:rPr>
                <w:rFonts w:ascii="宋体" w:hAnsi="宋体" w:eastAsia="宋体"/>
                <w:sz w:val="21"/>
              </w:rPr>
              <w:t>8,000</w:t>
            </w:r>
          </w:p>
        </w:tc>
        <w:tc>
          <w:tcPr>
            <w:tcW w:type="dxa" w:w="1417"/>
          </w:tcPr>
          <w:p>
            <w:pPr>
              <w:jc w:val="center"/>
            </w:pPr>
            <w:r/>
            <w:r>
              <w:rPr>
                <w:rFonts w:ascii="宋体" w:hAnsi="宋体" w:eastAsia="宋体"/>
                <w:sz w:val="21"/>
              </w:rPr>
              <w:t>2,000</w:t>
            </w:r>
          </w:p>
        </w:tc>
        <w:tc>
          <w:tcPr>
            <w:tcW w:type="dxa" w:w="1417"/>
          </w:tcPr>
          <w:p>
            <w:pPr>
              <w:jc w:val="center"/>
            </w:pPr>
            <w:r/>
            <w:r>
              <w:rPr>
                <w:rFonts w:ascii="宋体" w:hAnsi="宋体" w:eastAsia="宋体"/>
                <w:sz w:val="21"/>
              </w:rPr>
              <w:t>1,700</w:t>
            </w:r>
          </w:p>
        </w:tc>
        <w:tc>
          <w:tcPr>
            <w:tcW w:type="dxa" w:w="1417"/>
          </w:tcPr>
          <w:p>
            <w:pPr>
              <w:jc w:val="center"/>
            </w:pPr>
            <w:r/>
            <w:r>
              <w:rPr>
                <w:rFonts w:ascii="宋体" w:hAnsi="宋体" w:eastAsia="宋体"/>
                <w:sz w:val="21"/>
              </w:rPr>
              <w:t>3,700</w:t>
            </w:r>
          </w:p>
        </w:tc>
      </w:tr>
      <w:tr>
        <w:tc>
          <w:tcPr>
            <w:tcW w:type="dxa" w:w="850"/>
            <w:shd w:fill="EBF0F7"/>
          </w:tcPr>
          <w:p>
            <w:pPr>
              <w:jc w:val="center"/>
            </w:pPr>
            <w:r/>
            <w:r>
              <w:rPr>
                <w:rFonts w:ascii="宋体" w:hAnsi="宋体" w:eastAsia="宋体"/>
                <w:sz w:val="21"/>
              </w:rPr>
              <w:t>第5年</w:t>
            </w:r>
          </w:p>
        </w:tc>
        <w:tc>
          <w:tcPr>
            <w:tcW w:type="dxa" w:w="1417"/>
            <w:shd w:fill="EBF0F7"/>
          </w:tcPr>
          <w:p>
            <w:pPr>
              <w:jc w:val="center"/>
            </w:pPr>
            <w:r/>
            <w:r>
              <w:rPr>
                <w:rFonts w:ascii="宋体" w:hAnsi="宋体" w:eastAsia="宋体"/>
                <w:sz w:val="21"/>
              </w:rPr>
              <w:t>150,000</w:t>
            </w:r>
          </w:p>
        </w:tc>
        <w:tc>
          <w:tcPr>
            <w:tcW w:type="dxa" w:w="1417"/>
            <w:shd w:fill="EBF0F7"/>
          </w:tcPr>
          <w:p>
            <w:pPr>
              <w:jc w:val="center"/>
            </w:pPr>
            <w:r/>
            <w:r>
              <w:rPr>
                <w:rFonts w:ascii="宋体" w:hAnsi="宋体" w:eastAsia="宋体"/>
                <w:sz w:val="21"/>
              </w:rPr>
              <w:t>15,000</w:t>
            </w:r>
          </w:p>
        </w:tc>
        <w:tc>
          <w:tcPr>
            <w:tcW w:type="dxa" w:w="1417"/>
            <w:shd w:fill="EBF0F7"/>
          </w:tcPr>
          <w:p>
            <w:pPr>
              <w:jc w:val="center"/>
            </w:pPr>
            <w:r/>
            <w:r>
              <w:rPr>
                <w:rFonts w:ascii="宋体" w:hAnsi="宋体" w:eastAsia="宋体"/>
                <w:sz w:val="21"/>
              </w:rPr>
              <w:t>4,000</w:t>
            </w:r>
          </w:p>
        </w:tc>
        <w:tc>
          <w:tcPr>
            <w:tcW w:type="dxa" w:w="1417"/>
            <w:shd w:fill="EBF0F7"/>
          </w:tcPr>
          <w:p>
            <w:pPr>
              <w:jc w:val="center"/>
            </w:pPr>
            <w:r/>
            <w:r>
              <w:rPr>
                <w:rFonts w:ascii="宋体" w:hAnsi="宋体" w:eastAsia="宋体"/>
                <w:sz w:val="21"/>
              </w:rPr>
              <w:t>3,400</w:t>
            </w:r>
          </w:p>
        </w:tc>
        <w:tc>
          <w:tcPr>
            <w:tcW w:type="dxa" w:w="1417"/>
            <w:shd w:fill="EBF0F7"/>
          </w:tcPr>
          <w:p>
            <w:pPr>
              <w:jc w:val="center"/>
            </w:pPr>
            <w:r/>
            <w:r>
              <w:rPr>
                <w:rFonts w:ascii="宋体" w:hAnsi="宋体" w:eastAsia="宋体"/>
                <w:sz w:val="21"/>
              </w:rPr>
              <w:t>7,400</w:t>
            </w:r>
          </w:p>
        </w:tc>
      </w:tr>
    </w:tbl>
    <w:p/>
    <w:p>
      <w:pPr>
        <w:spacing w:line="288" w:lineRule="auto" w:after="80"/>
        <w:ind w:firstLine="480"/>
      </w:pPr>
      <w:r>
        <w:rPr>
          <w:rFonts w:ascii="宋体" w:hAnsi="宋体" w:eastAsia="宋体"/>
          <w:sz w:val="24"/>
        </w:rPr>
        <w:t>成本方面，项目采用轻资产运营模式，主要成本为人力成本和技术成本：</w:t>
      </w:r>
    </w:p>
    <w:tbl>
      <w:tblPr>
        <w:tblStyle w:val="TableGrid"/>
        <w:tblW w:type="auto" w:w="0"/>
        <w:jc w:val="center"/>
        <w:tblLook w:firstColumn="1" w:firstRow="1" w:lastColumn="0" w:lastRow="0" w:noHBand="0" w:noVBand="1" w:val="04A0"/>
      </w:tblPr>
      <w:tblGrid>
        <w:gridCol w:w="1383"/>
        <w:gridCol w:w="1383"/>
        <w:gridCol w:w="1383"/>
        <w:gridCol w:w="1383"/>
        <w:gridCol w:w="1383"/>
        <w:gridCol w:w="1383"/>
      </w:tblGrid>
      <w:tr>
        <w:tc>
          <w:tcPr>
            <w:tcW w:type="dxa" w:w="1701"/>
            <w:shd w:fill="1A3C6E"/>
          </w:tcPr>
          <w:p>
            <w:pPr>
              <w:jc w:val="center"/>
            </w:pPr>
            <w:r/>
            <w:r>
              <w:rPr>
                <w:rFonts w:ascii="黑体" w:hAnsi="黑体" w:eastAsia="黑体"/>
                <w:b/>
                <w:color w:val="FFFFFF"/>
                <w:sz w:val="21"/>
              </w:rPr>
              <w:t>成本项目</w:t>
            </w:r>
          </w:p>
        </w:tc>
        <w:tc>
          <w:tcPr>
            <w:tcW w:type="dxa" w:w="1134"/>
            <w:shd w:fill="1A3C6E"/>
          </w:tcPr>
          <w:p>
            <w:pPr>
              <w:jc w:val="center"/>
            </w:pPr>
            <w:r/>
            <w:r>
              <w:rPr>
                <w:rFonts w:ascii="黑体" w:hAnsi="黑体" w:eastAsia="黑体"/>
                <w:b/>
                <w:color w:val="FFFFFF"/>
                <w:sz w:val="21"/>
              </w:rPr>
              <w:t>第1年（万）</w:t>
            </w:r>
          </w:p>
        </w:tc>
        <w:tc>
          <w:tcPr>
            <w:tcW w:type="dxa" w:w="1134"/>
            <w:shd w:fill="1A3C6E"/>
          </w:tcPr>
          <w:p>
            <w:pPr>
              <w:jc w:val="center"/>
            </w:pPr>
            <w:r/>
            <w:r>
              <w:rPr>
                <w:rFonts w:ascii="黑体" w:hAnsi="黑体" w:eastAsia="黑体"/>
                <w:b/>
                <w:color w:val="FFFFFF"/>
                <w:sz w:val="21"/>
              </w:rPr>
              <w:t>第2年（万）</w:t>
            </w:r>
          </w:p>
        </w:tc>
        <w:tc>
          <w:tcPr>
            <w:tcW w:type="dxa" w:w="1134"/>
            <w:shd w:fill="1A3C6E"/>
          </w:tcPr>
          <w:p>
            <w:pPr>
              <w:jc w:val="center"/>
            </w:pPr>
            <w:r/>
            <w:r>
              <w:rPr>
                <w:rFonts w:ascii="黑体" w:hAnsi="黑体" w:eastAsia="黑体"/>
                <w:b/>
                <w:color w:val="FFFFFF"/>
                <w:sz w:val="21"/>
              </w:rPr>
              <w:t>第3年（万）</w:t>
            </w:r>
          </w:p>
        </w:tc>
        <w:tc>
          <w:tcPr>
            <w:tcW w:type="dxa" w:w="1134"/>
            <w:shd w:fill="1A3C6E"/>
          </w:tcPr>
          <w:p>
            <w:pPr>
              <w:jc w:val="center"/>
            </w:pPr>
            <w:r/>
            <w:r>
              <w:rPr>
                <w:rFonts w:ascii="黑体" w:hAnsi="黑体" w:eastAsia="黑体"/>
                <w:b/>
                <w:color w:val="FFFFFF"/>
                <w:sz w:val="21"/>
              </w:rPr>
              <w:t>第4年（万）</w:t>
            </w:r>
          </w:p>
        </w:tc>
        <w:tc>
          <w:tcPr>
            <w:tcW w:type="dxa" w:w="1134"/>
            <w:shd w:fill="1A3C6E"/>
          </w:tcPr>
          <w:p>
            <w:pPr>
              <w:jc w:val="center"/>
            </w:pPr>
            <w:r/>
            <w:r>
              <w:rPr>
                <w:rFonts w:ascii="黑体" w:hAnsi="黑体" w:eastAsia="黑体"/>
                <w:b/>
                <w:color w:val="FFFFFF"/>
                <w:sz w:val="21"/>
              </w:rPr>
              <w:t>第5年（万）</w:t>
            </w:r>
          </w:p>
        </w:tc>
      </w:tr>
      <w:tr>
        <w:tc>
          <w:tcPr>
            <w:tcW w:type="dxa" w:w="1701"/>
            <w:shd w:fill="EBF0F7"/>
          </w:tcPr>
          <w:p>
            <w:pPr>
              <w:jc w:val="center"/>
            </w:pPr>
            <w:r/>
            <w:r>
              <w:rPr>
                <w:rFonts w:ascii="宋体" w:hAnsi="宋体" w:eastAsia="宋体"/>
                <w:sz w:val="21"/>
              </w:rPr>
              <w:t>人力成本</w:t>
            </w:r>
          </w:p>
        </w:tc>
        <w:tc>
          <w:tcPr>
            <w:tcW w:type="dxa" w:w="1134"/>
            <w:shd w:fill="EBF0F7"/>
          </w:tcPr>
          <w:p>
            <w:pPr>
              <w:jc w:val="center"/>
            </w:pPr>
            <w:r/>
            <w:r>
              <w:rPr>
                <w:rFonts w:ascii="宋体" w:hAnsi="宋体" w:eastAsia="宋体"/>
                <w:sz w:val="21"/>
              </w:rPr>
              <w:t>180</w:t>
            </w:r>
          </w:p>
        </w:tc>
        <w:tc>
          <w:tcPr>
            <w:tcW w:type="dxa" w:w="1134"/>
            <w:shd w:fill="EBF0F7"/>
          </w:tcPr>
          <w:p>
            <w:pPr>
              <w:jc w:val="center"/>
            </w:pPr>
            <w:r/>
            <w:r>
              <w:rPr>
                <w:rFonts w:ascii="宋体" w:hAnsi="宋体" w:eastAsia="宋体"/>
                <w:sz w:val="21"/>
              </w:rPr>
              <w:t>300</w:t>
            </w:r>
          </w:p>
        </w:tc>
        <w:tc>
          <w:tcPr>
            <w:tcW w:type="dxa" w:w="1134"/>
            <w:shd w:fill="EBF0F7"/>
          </w:tcPr>
          <w:p>
            <w:pPr>
              <w:jc w:val="center"/>
            </w:pPr>
            <w:r/>
            <w:r>
              <w:rPr>
                <w:rFonts w:ascii="宋体" w:hAnsi="宋体" w:eastAsia="宋体"/>
                <w:sz w:val="21"/>
              </w:rPr>
              <w:t>600</w:t>
            </w:r>
          </w:p>
        </w:tc>
        <w:tc>
          <w:tcPr>
            <w:tcW w:type="dxa" w:w="1134"/>
            <w:shd w:fill="EBF0F7"/>
          </w:tcPr>
          <w:p>
            <w:pPr>
              <w:jc w:val="center"/>
            </w:pPr>
            <w:r/>
            <w:r>
              <w:rPr>
                <w:rFonts w:ascii="宋体" w:hAnsi="宋体" w:eastAsia="宋体"/>
                <w:sz w:val="21"/>
              </w:rPr>
              <w:t>1,000</w:t>
            </w:r>
          </w:p>
        </w:tc>
        <w:tc>
          <w:tcPr>
            <w:tcW w:type="dxa" w:w="1134"/>
            <w:shd w:fill="EBF0F7"/>
          </w:tcPr>
          <w:p>
            <w:pPr>
              <w:jc w:val="center"/>
            </w:pPr>
            <w:r/>
            <w:r>
              <w:rPr>
                <w:rFonts w:ascii="宋体" w:hAnsi="宋体" w:eastAsia="宋体"/>
                <w:sz w:val="21"/>
              </w:rPr>
              <w:t>1,600</w:t>
            </w:r>
          </w:p>
        </w:tc>
      </w:tr>
      <w:tr>
        <w:tc>
          <w:tcPr>
            <w:tcW w:type="dxa" w:w="1701"/>
          </w:tcPr>
          <w:p>
            <w:pPr>
              <w:jc w:val="center"/>
            </w:pPr>
            <w:r/>
            <w:r>
              <w:rPr>
                <w:rFonts w:ascii="宋体" w:hAnsi="宋体" w:eastAsia="宋体"/>
                <w:sz w:val="21"/>
              </w:rPr>
              <w:t>技术成本</w:t>
            </w:r>
          </w:p>
        </w:tc>
        <w:tc>
          <w:tcPr>
            <w:tcW w:type="dxa" w:w="1134"/>
          </w:tcPr>
          <w:p>
            <w:pPr>
              <w:jc w:val="center"/>
            </w:pPr>
            <w:r/>
            <w:r>
              <w:rPr>
                <w:rFonts w:ascii="宋体" w:hAnsi="宋体" w:eastAsia="宋体"/>
                <w:sz w:val="21"/>
              </w:rPr>
              <w:t>50</w:t>
            </w:r>
          </w:p>
        </w:tc>
        <w:tc>
          <w:tcPr>
            <w:tcW w:type="dxa" w:w="1134"/>
          </w:tcPr>
          <w:p>
            <w:pPr>
              <w:jc w:val="center"/>
            </w:pPr>
            <w:r/>
            <w:r>
              <w:rPr>
                <w:rFonts w:ascii="宋体" w:hAnsi="宋体" w:eastAsia="宋体"/>
                <w:sz w:val="21"/>
              </w:rPr>
              <w:t>80</w:t>
            </w:r>
          </w:p>
        </w:tc>
        <w:tc>
          <w:tcPr>
            <w:tcW w:type="dxa" w:w="1134"/>
          </w:tcPr>
          <w:p>
            <w:pPr>
              <w:jc w:val="center"/>
            </w:pPr>
            <w:r/>
            <w:r>
              <w:rPr>
                <w:rFonts w:ascii="宋体" w:hAnsi="宋体" w:eastAsia="宋体"/>
                <w:sz w:val="21"/>
              </w:rPr>
              <w:t>180</w:t>
            </w:r>
          </w:p>
        </w:tc>
        <w:tc>
          <w:tcPr>
            <w:tcW w:type="dxa" w:w="1134"/>
          </w:tcPr>
          <w:p>
            <w:pPr>
              <w:jc w:val="center"/>
            </w:pPr>
            <w:r/>
            <w:r>
              <w:rPr>
                <w:rFonts w:ascii="宋体" w:hAnsi="宋体" w:eastAsia="宋体"/>
                <w:sz w:val="21"/>
              </w:rPr>
              <w:t>320</w:t>
            </w:r>
          </w:p>
        </w:tc>
        <w:tc>
          <w:tcPr>
            <w:tcW w:type="dxa" w:w="1134"/>
          </w:tcPr>
          <w:p>
            <w:pPr>
              <w:jc w:val="center"/>
            </w:pPr>
            <w:r/>
            <w:r>
              <w:rPr>
                <w:rFonts w:ascii="宋体" w:hAnsi="宋体" w:eastAsia="宋体"/>
                <w:sz w:val="21"/>
              </w:rPr>
              <w:t>500</w:t>
            </w:r>
          </w:p>
        </w:tc>
      </w:tr>
      <w:tr>
        <w:tc>
          <w:tcPr>
            <w:tcW w:type="dxa" w:w="1701"/>
            <w:shd w:fill="EBF0F7"/>
          </w:tcPr>
          <w:p>
            <w:pPr>
              <w:jc w:val="center"/>
            </w:pPr>
            <w:r/>
            <w:r>
              <w:rPr>
                <w:rFonts w:ascii="宋体" w:hAnsi="宋体" w:eastAsia="宋体"/>
                <w:sz w:val="21"/>
              </w:rPr>
              <w:t>营销成本</w:t>
            </w:r>
          </w:p>
        </w:tc>
        <w:tc>
          <w:tcPr>
            <w:tcW w:type="dxa" w:w="1134"/>
            <w:shd w:fill="EBF0F7"/>
          </w:tcPr>
          <w:p>
            <w:pPr>
              <w:jc w:val="center"/>
            </w:pPr>
            <w:r/>
            <w:r>
              <w:rPr>
                <w:rFonts w:ascii="宋体" w:hAnsi="宋体" w:eastAsia="宋体"/>
                <w:sz w:val="21"/>
              </w:rPr>
              <w:t>60</w:t>
            </w:r>
          </w:p>
        </w:tc>
        <w:tc>
          <w:tcPr>
            <w:tcW w:type="dxa" w:w="1134"/>
            <w:shd w:fill="EBF0F7"/>
          </w:tcPr>
          <w:p>
            <w:pPr>
              <w:jc w:val="center"/>
            </w:pPr>
            <w:r/>
            <w:r>
              <w:rPr>
                <w:rFonts w:ascii="宋体" w:hAnsi="宋体" w:eastAsia="宋体"/>
                <w:sz w:val="21"/>
              </w:rPr>
              <w:t>100</w:t>
            </w:r>
          </w:p>
        </w:tc>
        <w:tc>
          <w:tcPr>
            <w:tcW w:type="dxa" w:w="1134"/>
            <w:shd w:fill="EBF0F7"/>
          </w:tcPr>
          <w:p>
            <w:pPr>
              <w:jc w:val="center"/>
            </w:pPr>
            <w:r/>
            <w:r>
              <w:rPr>
                <w:rFonts w:ascii="宋体" w:hAnsi="宋体" w:eastAsia="宋体"/>
                <w:sz w:val="21"/>
              </w:rPr>
              <w:t>200</w:t>
            </w:r>
          </w:p>
        </w:tc>
        <w:tc>
          <w:tcPr>
            <w:tcW w:type="dxa" w:w="1134"/>
            <w:shd w:fill="EBF0F7"/>
          </w:tcPr>
          <w:p>
            <w:pPr>
              <w:jc w:val="center"/>
            </w:pPr>
            <w:r/>
            <w:r>
              <w:rPr>
                <w:rFonts w:ascii="宋体" w:hAnsi="宋体" w:eastAsia="宋体"/>
                <w:sz w:val="21"/>
              </w:rPr>
              <w:t>350</w:t>
            </w:r>
          </w:p>
        </w:tc>
        <w:tc>
          <w:tcPr>
            <w:tcW w:type="dxa" w:w="1134"/>
            <w:shd w:fill="EBF0F7"/>
          </w:tcPr>
          <w:p>
            <w:pPr>
              <w:jc w:val="center"/>
            </w:pPr>
            <w:r/>
            <w:r>
              <w:rPr>
                <w:rFonts w:ascii="宋体" w:hAnsi="宋体" w:eastAsia="宋体"/>
                <w:sz w:val="21"/>
              </w:rPr>
              <w:t>550</w:t>
            </w:r>
          </w:p>
        </w:tc>
      </w:tr>
      <w:tr>
        <w:tc>
          <w:tcPr>
            <w:tcW w:type="dxa" w:w="1701"/>
          </w:tcPr>
          <w:p>
            <w:pPr>
              <w:jc w:val="center"/>
            </w:pPr>
            <w:r/>
            <w:r>
              <w:rPr>
                <w:rFonts w:ascii="宋体" w:hAnsi="宋体" w:eastAsia="宋体"/>
                <w:sz w:val="21"/>
              </w:rPr>
              <w:t>管理成本</w:t>
            </w:r>
          </w:p>
        </w:tc>
        <w:tc>
          <w:tcPr>
            <w:tcW w:type="dxa" w:w="1134"/>
          </w:tcPr>
          <w:p>
            <w:pPr>
              <w:jc w:val="center"/>
            </w:pPr>
            <w:r/>
            <w:r>
              <w:rPr>
                <w:rFonts w:ascii="宋体" w:hAnsi="宋体" w:eastAsia="宋体"/>
                <w:sz w:val="21"/>
              </w:rPr>
              <w:t>30</w:t>
            </w:r>
          </w:p>
        </w:tc>
        <w:tc>
          <w:tcPr>
            <w:tcW w:type="dxa" w:w="1134"/>
          </w:tcPr>
          <w:p>
            <w:pPr>
              <w:jc w:val="center"/>
            </w:pPr>
            <w:r/>
            <w:r>
              <w:rPr>
                <w:rFonts w:ascii="宋体" w:hAnsi="宋体" w:eastAsia="宋体"/>
                <w:sz w:val="21"/>
              </w:rPr>
              <w:t>40</w:t>
            </w:r>
          </w:p>
        </w:tc>
        <w:tc>
          <w:tcPr>
            <w:tcW w:type="dxa" w:w="1134"/>
          </w:tcPr>
          <w:p>
            <w:pPr>
              <w:jc w:val="center"/>
            </w:pPr>
            <w:r/>
            <w:r>
              <w:rPr>
                <w:rFonts w:ascii="宋体" w:hAnsi="宋体" w:eastAsia="宋体"/>
                <w:sz w:val="21"/>
              </w:rPr>
              <w:t>70</w:t>
            </w:r>
          </w:p>
        </w:tc>
        <w:tc>
          <w:tcPr>
            <w:tcW w:type="dxa" w:w="1134"/>
          </w:tcPr>
          <w:p>
            <w:pPr>
              <w:jc w:val="center"/>
            </w:pPr>
            <w:r/>
            <w:r>
              <w:rPr>
                <w:rFonts w:ascii="宋体" w:hAnsi="宋体" w:eastAsia="宋体"/>
                <w:sz w:val="21"/>
              </w:rPr>
              <w:t>130</w:t>
            </w:r>
          </w:p>
        </w:tc>
        <w:tc>
          <w:tcPr>
            <w:tcW w:type="dxa" w:w="1134"/>
          </w:tcPr>
          <w:p>
            <w:pPr>
              <w:jc w:val="center"/>
            </w:pPr>
            <w:r/>
            <w:r>
              <w:rPr>
                <w:rFonts w:ascii="宋体" w:hAnsi="宋体" w:eastAsia="宋体"/>
                <w:sz w:val="21"/>
              </w:rPr>
              <w:t>200</w:t>
            </w:r>
          </w:p>
        </w:tc>
      </w:tr>
      <w:tr>
        <w:tc>
          <w:tcPr>
            <w:tcW w:type="dxa" w:w="1701"/>
            <w:shd w:fill="EBF0F7"/>
          </w:tcPr>
          <w:p>
            <w:pPr>
              <w:jc w:val="center"/>
            </w:pPr>
            <w:r/>
            <w:r>
              <w:rPr>
                <w:rFonts w:ascii="宋体" w:hAnsi="宋体" w:eastAsia="宋体"/>
                <w:sz w:val="21"/>
              </w:rPr>
              <w:t>合计</w:t>
            </w:r>
          </w:p>
        </w:tc>
        <w:tc>
          <w:tcPr>
            <w:tcW w:type="dxa" w:w="1134"/>
            <w:shd w:fill="EBF0F7"/>
          </w:tcPr>
          <w:p>
            <w:pPr>
              <w:jc w:val="center"/>
            </w:pPr>
            <w:r/>
            <w:r>
              <w:rPr>
                <w:rFonts w:ascii="宋体" w:hAnsi="宋体" w:eastAsia="宋体"/>
                <w:sz w:val="21"/>
              </w:rPr>
              <w:t>320</w:t>
            </w:r>
          </w:p>
        </w:tc>
        <w:tc>
          <w:tcPr>
            <w:tcW w:type="dxa" w:w="1134"/>
            <w:shd w:fill="EBF0F7"/>
          </w:tcPr>
          <w:p>
            <w:pPr>
              <w:jc w:val="center"/>
            </w:pPr>
            <w:r/>
            <w:r>
              <w:rPr>
                <w:rFonts w:ascii="宋体" w:hAnsi="宋体" w:eastAsia="宋体"/>
                <w:sz w:val="21"/>
              </w:rPr>
              <w:t>520</w:t>
            </w:r>
          </w:p>
        </w:tc>
        <w:tc>
          <w:tcPr>
            <w:tcW w:type="dxa" w:w="1134"/>
            <w:shd w:fill="EBF0F7"/>
          </w:tcPr>
          <w:p>
            <w:pPr>
              <w:jc w:val="center"/>
            </w:pPr>
            <w:r/>
            <w:r>
              <w:rPr>
                <w:rFonts w:ascii="宋体" w:hAnsi="宋体" w:eastAsia="宋体"/>
                <w:sz w:val="21"/>
              </w:rPr>
              <w:t>1,050</w:t>
            </w:r>
          </w:p>
        </w:tc>
        <w:tc>
          <w:tcPr>
            <w:tcW w:type="dxa" w:w="1134"/>
            <w:shd w:fill="EBF0F7"/>
          </w:tcPr>
          <w:p>
            <w:pPr>
              <w:jc w:val="center"/>
            </w:pPr>
            <w:r/>
            <w:r>
              <w:rPr>
                <w:rFonts w:ascii="宋体" w:hAnsi="宋体" w:eastAsia="宋体"/>
                <w:sz w:val="21"/>
              </w:rPr>
              <w:t>1,800</w:t>
            </w:r>
          </w:p>
        </w:tc>
        <w:tc>
          <w:tcPr>
            <w:tcW w:type="dxa" w:w="1134"/>
            <w:shd w:fill="EBF0F7"/>
          </w:tcPr>
          <w:p>
            <w:pPr>
              <w:jc w:val="center"/>
            </w:pPr>
            <w:r/>
            <w:r>
              <w:rPr>
                <w:rFonts w:ascii="宋体" w:hAnsi="宋体" w:eastAsia="宋体"/>
                <w:sz w:val="21"/>
              </w:rPr>
              <w:t>2,850</w:t>
            </w:r>
          </w:p>
        </w:tc>
      </w:tr>
    </w:tbl>
    <w:p/>
    <w:p>
      <w:pPr>
        <w:spacing w:before="240" w:after="120" w:line="288" w:lineRule="auto"/>
      </w:pPr>
      <w:r>
        <w:rPr>
          <w:rFonts w:ascii="宋体" w:hAnsi="宋体" w:eastAsia="宋体"/>
          <w:b/>
          <w:sz w:val="24"/>
        </w:rPr>
        <w:t>8.3 盈利预测与投资回报</w:t>
      </w:r>
    </w:p>
    <w:p>
      <w:pPr>
        <w:spacing w:line="288" w:lineRule="auto" w:after="80"/>
        <w:ind w:firstLine="480"/>
      </w:pPr>
      <w:r>
        <w:rPr>
          <w:rFonts w:ascii="宋体" w:hAnsi="宋体" w:eastAsia="宋体"/>
          <w:sz w:val="24"/>
        </w:rPr>
        <w:t>基于以上收入和成本预测，项目的盈利情况如下：</w:t>
      </w:r>
    </w:p>
    <w:tbl>
      <w:tblPr>
        <w:tblStyle w:val="TableGrid"/>
        <w:tblW w:type="auto" w:w="0"/>
        <w:jc w:val="center"/>
        <w:tblLook w:firstColumn="1" w:firstRow="1" w:lastColumn="0" w:lastRow="0" w:noHBand="0" w:noVBand="1" w:val="04A0"/>
      </w:tblPr>
      <w:tblGrid>
        <w:gridCol w:w="1383"/>
        <w:gridCol w:w="1383"/>
        <w:gridCol w:w="1383"/>
        <w:gridCol w:w="1383"/>
        <w:gridCol w:w="1383"/>
        <w:gridCol w:w="1383"/>
      </w:tblGrid>
      <w:tr>
        <w:tc>
          <w:tcPr>
            <w:tcW w:type="dxa" w:w="1701"/>
            <w:shd w:fill="1A3C6E"/>
          </w:tcPr>
          <w:p>
            <w:pPr>
              <w:jc w:val="center"/>
            </w:pPr>
            <w:r/>
            <w:r>
              <w:rPr>
                <w:rFonts w:ascii="黑体" w:hAnsi="黑体" w:eastAsia="黑体"/>
                <w:b/>
                <w:color w:val="FFFFFF"/>
                <w:sz w:val="21"/>
              </w:rPr>
              <w:t>指标</w:t>
            </w:r>
          </w:p>
        </w:tc>
        <w:tc>
          <w:tcPr>
            <w:tcW w:type="dxa" w:w="1134"/>
            <w:shd w:fill="1A3C6E"/>
          </w:tcPr>
          <w:p>
            <w:pPr>
              <w:jc w:val="center"/>
            </w:pPr>
            <w:r/>
            <w:r>
              <w:rPr>
                <w:rFonts w:ascii="黑体" w:hAnsi="黑体" w:eastAsia="黑体"/>
                <w:b/>
                <w:color w:val="FFFFFF"/>
                <w:sz w:val="21"/>
              </w:rPr>
              <w:t>第1年</w:t>
            </w:r>
          </w:p>
        </w:tc>
        <w:tc>
          <w:tcPr>
            <w:tcW w:type="dxa" w:w="1134"/>
            <w:shd w:fill="1A3C6E"/>
          </w:tcPr>
          <w:p>
            <w:pPr>
              <w:jc w:val="center"/>
            </w:pPr>
            <w:r/>
            <w:r>
              <w:rPr>
                <w:rFonts w:ascii="黑体" w:hAnsi="黑体" w:eastAsia="黑体"/>
                <w:b/>
                <w:color w:val="FFFFFF"/>
                <w:sz w:val="21"/>
              </w:rPr>
              <w:t>第2年</w:t>
            </w:r>
          </w:p>
        </w:tc>
        <w:tc>
          <w:tcPr>
            <w:tcW w:type="dxa" w:w="1134"/>
            <w:shd w:fill="1A3C6E"/>
          </w:tcPr>
          <w:p>
            <w:pPr>
              <w:jc w:val="center"/>
            </w:pPr>
            <w:r/>
            <w:r>
              <w:rPr>
                <w:rFonts w:ascii="黑体" w:hAnsi="黑体" w:eastAsia="黑体"/>
                <w:b/>
                <w:color w:val="FFFFFF"/>
                <w:sz w:val="21"/>
              </w:rPr>
              <w:t>第3年</w:t>
            </w:r>
          </w:p>
        </w:tc>
        <w:tc>
          <w:tcPr>
            <w:tcW w:type="dxa" w:w="1134"/>
            <w:shd w:fill="1A3C6E"/>
          </w:tcPr>
          <w:p>
            <w:pPr>
              <w:jc w:val="center"/>
            </w:pPr>
            <w:r/>
            <w:r>
              <w:rPr>
                <w:rFonts w:ascii="黑体" w:hAnsi="黑体" w:eastAsia="黑体"/>
                <w:b/>
                <w:color w:val="FFFFFF"/>
                <w:sz w:val="21"/>
              </w:rPr>
              <w:t>第4年</w:t>
            </w:r>
          </w:p>
        </w:tc>
        <w:tc>
          <w:tcPr>
            <w:tcW w:type="dxa" w:w="1134"/>
            <w:shd w:fill="1A3C6E"/>
          </w:tcPr>
          <w:p>
            <w:pPr>
              <w:jc w:val="center"/>
            </w:pPr>
            <w:r/>
            <w:r>
              <w:rPr>
                <w:rFonts w:ascii="黑体" w:hAnsi="黑体" w:eastAsia="黑体"/>
                <w:b/>
                <w:color w:val="FFFFFF"/>
                <w:sz w:val="21"/>
              </w:rPr>
              <w:t>第5年</w:t>
            </w:r>
          </w:p>
        </w:tc>
      </w:tr>
      <w:tr>
        <w:tc>
          <w:tcPr>
            <w:tcW w:type="dxa" w:w="1701"/>
            <w:shd w:fill="EBF0F7"/>
          </w:tcPr>
          <w:p>
            <w:pPr>
              <w:jc w:val="center"/>
            </w:pPr>
            <w:r/>
            <w:r>
              <w:rPr>
                <w:rFonts w:ascii="宋体" w:hAnsi="宋体" w:eastAsia="宋体"/>
                <w:sz w:val="21"/>
              </w:rPr>
              <w:t>总营收（万元）</w:t>
            </w:r>
          </w:p>
        </w:tc>
        <w:tc>
          <w:tcPr>
            <w:tcW w:type="dxa" w:w="1134"/>
            <w:shd w:fill="EBF0F7"/>
          </w:tcPr>
          <w:p>
            <w:pPr>
              <w:jc w:val="center"/>
            </w:pPr>
            <w:r/>
            <w:r>
              <w:rPr>
                <w:rFonts w:ascii="宋体" w:hAnsi="宋体" w:eastAsia="宋体"/>
                <w:sz w:val="21"/>
              </w:rPr>
              <w:t>130</w:t>
            </w:r>
          </w:p>
        </w:tc>
        <w:tc>
          <w:tcPr>
            <w:tcW w:type="dxa" w:w="1134"/>
            <w:shd w:fill="EBF0F7"/>
          </w:tcPr>
          <w:p>
            <w:pPr>
              <w:jc w:val="center"/>
            </w:pPr>
            <w:r/>
            <w:r>
              <w:rPr>
                <w:rFonts w:ascii="宋体" w:hAnsi="宋体" w:eastAsia="宋体"/>
                <w:sz w:val="21"/>
              </w:rPr>
              <w:t>540</w:t>
            </w:r>
          </w:p>
        </w:tc>
        <w:tc>
          <w:tcPr>
            <w:tcW w:type="dxa" w:w="1134"/>
            <w:shd w:fill="EBF0F7"/>
          </w:tcPr>
          <w:p>
            <w:pPr>
              <w:jc w:val="center"/>
            </w:pPr>
            <w:r/>
            <w:r>
              <w:rPr>
                <w:rFonts w:ascii="宋体" w:hAnsi="宋体" w:eastAsia="宋体"/>
                <w:sz w:val="21"/>
              </w:rPr>
              <w:t>1,650</w:t>
            </w:r>
          </w:p>
        </w:tc>
        <w:tc>
          <w:tcPr>
            <w:tcW w:type="dxa" w:w="1134"/>
            <w:shd w:fill="EBF0F7"/>
          </w:tcPr>
          <w:p>
            <w:pPr>
              <w:jc w:val="center"/>
            </w:pPr>
            <w:r/>
            <w:r>
              <w:rPr>
                <w:rFonts w:ascii="宋体" w:hAnsi="宋体" w:eastAsia="宋体"/>
                <w:sz w:val="21"/>
              </w:rPr>
              <w:t>3,700</w:t>
            </w:r>
          </w:p>
        </w:tc>
        <w:tc>
          <w:tcPr>
            <w:tcW w:type="dxa" w:w="1134"/>
            <w:shd w:fill="EBF0F7"/>
          </w:tcPr>
          <w:p>
            <w:pPr>
              <w:jc w:val="center"/>
            </w:pPr>
            <w:r/>
            <w:r>
              <w:rPr>
                <w:rFonts w:ascii="宋体" w:hAnsi="宋体" w:eastAsia="宋体"/>
                <w:sz w:val="21"/>
              </w:rPr>
              <w:t>7,400</w:t>
            </w:r>
          </w:p>
        </w:tc>
      </w:tr>
      <w:tr>
        <w:tc>
          <w:tcPr>
            <w:tcW w:type="dxa" w:w="1701"/>
          </w:tcPr>
          <w:p>
            <w:pPr>
              <w:jc w:val="center"/>
            </w:pPr>
            <w:r/>
            <w:r>
              <w:rPr>
                <w:rFonts w:ascii="宋体" w:hAnsi="宋体" w:eastAsia="宋体"/>
                <w:sz w:val="21"/>
              </w:rPr>
              <w:t>总成本（万元）</w:t>
            </w:r>
          </w:p>
        </w:tc>
        <w:tc>
          <w:tcPr>
            <w:tcW w:type="dxa" w:w="1134"/>
          </w:tcPr>
          <w:p>
            <w:pPr>
              <w:jc w:val="center"/>
            </w:pPr>
            <w:r/>
            <w:r>
              <w:rPr>
                <w:rFonts w:ascii="宋体" w:hAnsi="宋体" w:eastAsia="宋体"/>
                <w:sz w:val="21"/>
              </w:rPr>
              <w:t>320</w:t>
            </w:r>
          </w:p>
        </w:tc>
        <w:tc>
          <w:tcPr>
            <w:tcW w:type="dxa" w:w="1134"/>
          </w:tcPr>
          <w:p>
            <w:pPr>
              <w:jc w:val="center"/>
            </w:pPr>
            <w:r/>
            <w:r>
              <w:rPr>
                <w:rFonts w:ascii="宋体" w:hAnsi="宋体" w:eastAsia="宋体"/>
                <w:sz w:val="21"/>
              </w:rPr>
              <w:t>520</w:t>
            </w:r>
          </w:p>
        </w:tc>
        <w:tc>
          <w:tcPr>
            <w:tcW w:type="dxa" w:w="1134"/>
          </w:tcPr>
          <w:p>
            <w:pPr>
              <w:jc w:val="center"/>
            </w:pPr>
            <w:r/>
            <w:r>
              <w:rPr>
                <w:rFonts w:ascii="宋体" w:hAnsi="宋体" w:eastAsia="宋体"/>
                <w:sz w:val="21"/>
              </w:rPr>
              <w:t>1,050</w:t>
            </w:r>
          </w:p>
        </w:tc>
        <w:tc>
          <w:tcPr>
            <w:tcW w:type="dxa" w:w="1134"/>
          </w:tcPr>
          <w:p>
            <w:pPr>
              <w:jc w:val="center"/>
            </w:pPr>
            <w:r/>
            <w:r>
              <w:rPr>
                <w:rFonts w:ascii="宋体" w:hAnsi="宋体" w:eastAsia="宋体"/>
                <w:sz w:val="21"/>
              </w:rPr>
              <w:t>1,800</w:t>
            </w:r>
          </w:p>
        </w:tc>
        <w:tc>
          <w:tcPr>
            <w:tcW w:type="dxa" w:w="1134"/>
          </w:tcPr>
          <w:p>
            <w:pPr>
              <w:jc w:val="center"/>
            </w:pPr>
            <w:r/>
            <w:r>
              <w:rPr>
                <w:rFonts w:ascii="宋体" w:hAnsi="宋体" w:eastAsia="宋体"/>
                <w:sz w:val="21"/>
              </w:rPr>
              <w:t>2,850</w:t>
            </w:r>
          </w:p>
        </w:tc>
      </w:tr>
      <w:tr>
        <w:tc>
          <w:tcPr>
            <w:tcW w:type="dxa" w:w="1701"/>
            <w:shd w:fill="EBF0F7"/>
          </w:tcPr>
          <w:p>
            <w:pPr>
              <w:jc w:val="center"/>
            </w:pPr>
            <w:r/>
            <w:r>
              <w:rPr>
                <w:rFonts w:ascii="宋体" w:hAnsi="宋体" w:eastAsia="宋体"/>
                <w:sz w:val="21"/>
              </w:rPr>
              <w:t>净利润（万元）</w:t>
            </w:r>
          </w:p>
        </w:tc>
        <w:tc>
          <w:tcPr>
            <w:tcW w:type="dxa" w:w="1134"/>
            <w:shd w:fill="EBF0F7"/>
          </w:tcPr>
          <w:p>
            <w:pPr>
              <w:jc w:val="center"/>
            </w:pPr>
            <w:r/>
            <w:r>
              <w:rPr>
                <w:rFonts w:ascii="宋体" w:hAnsi="宋体" w:eastAsia="宋体"/>
                <w:sz w:val="21"/>
              </w:rPr>
              <w:t>-190</w:t>
            </w:r>
          </w:p>
        </w:tc>
        <w:tc>
          <w:tcPr>
            <w:tcW w:type="dxa" w:w="1134"/>
            <w:shd w:fill="EBF0F7"/>
          </w:tcPr>
          <w:p>
            <w:pPr>
              <w:jc w:val="center"/>
            </w:pPr>
            <w:r/>
            <w:r>
              <w:rPr>
                <w:rFonts w:ascii="宋体" w:hAnsi="宋体" w:eastAsia="宋体"/>
                <w:sz w:val="21"/>
              </w:rPr>
              <w:t>20</w:t>
            </w:r>
          </w:p>
        </w:tc>
        <w:tc>
          <w:tcPr>
            <w:tcW w:type="dxa" w:w="1134"/>
            <w:shd w:fill="EBF0F7"/>
          </w:tcPr>
          <w:p>
            <w:pPr>
              <w:jc w:val="center"/>
            </w:pPr>
            <w:r/>
            <w:r>
              <w:rPr>
                <w:rFonts w:ascii="宋体" w:hAnsi="宋体" w:eastAsia="宋体"/>
                <w:sz w:val="21"/>
              </w:rPr>
              <w:t>600</w:t>
            </w:r>
          </w:p>
        </w:tc>
        <w:tc>
          <w:tcPr>
            <w:tcW w:type="dxa" w:w="1134"/>
            <w:shd w:fill="EBF0F7"/>
          </w:tcPr>
          <w:p>
            <w:pPr>
              <w:jc w:val="center"/>
            </w:pPr>
            <w:r/>
            <w:r>
              <w:rPr>
                <w:rFonts w:ascii="宋体" w:hAnsi="宋体" w:eastAsia="宋体"/>
                <w:sz w:val="21"/>
              </w:rPr>
              <w:t>1,900</w:t>
            </w:r>
          </w:p>
        </w:tc>
        <w:tc>
          <w:tcPr>
            <w:tcW w:type="dxa" w:w="1134"/>
            <w:shd w:fill="EBF0F7"/>
          </w:tcPr>
          <w:p>
            <w:pPr>
              <w:jc w:val="center"/>
            </w:pPr>
            <w:r/>
            <w:r>
              <w:rPr>
                <w:rFonts w:ascii="宋体" w:hAnsi="宋体" w:eastAsia="宋体"/>
                <w:sz w:val="21"/>
              </w:rPr>
              <w:t>4,550</w:t>
            </w:r>
          </w:p>
        </w:tc>
      </w:tr>
      <w:tr>
        <w:tc>
          <w:tcPr>
            <w:tcW w:type="dxa" w:w="1701"/>
          </w:tcPr>
          <w:p>
            <w:pPr>
              <w:jc w:val="center"/>
            </w:pPr>
            <w:r/>
            <w:r>
              <w:rPr>
                <w:rFonts w:ascii="宋体" w:hAnsi="宋体" w:eastAsia="宋体"/>
                <w:sz w:val="21"/>
              </w:rPr>
              <w:t>净利润率</w:t>
            </w:r>
          </w:p>
        </w:tc>
        <w:tc>
          <w:tcPr>
            <w:tcW w:type="dxa" w:w="1134"/>
          </w:tcPr>
          <w:p>
            <w:pPr>
              <w:jc w:val="center"/>
            </w:pPr>
            <w:r/>
            <w:r>
              <w:rPr>
                <w:rFonts w:ascii="宋体" w:hAnsi="宋体" w:eastAsia="宋体"/>
                <w:sz w:val="21"/>
              </w:rPr>
              <w:t>—</w:t>
            </w:r>
          </w:p>
        </w:tc>
        <w:tc>
          <w:tcPr>
            <w:tcW w:type="dxa" w:w="1134"/>
          </w:tcPr>
          <w:p>
            <w:pPr>
              <w:jc w:val="center"/>
            </w:pPr>
            <w:r/>
            <w:r>
              <w:rPr>
                <w:rFonts w:ascii="宋体" w:hAnsi="宋体" w:eastAsia="宋体"/>
                <w:sz w:val="21"/>
              </w:rPr>
              <w:t>3.7%</w:t>
            </w:r>
          </w:p>
        </w:tc>
        <w:tc>
          <w:tcPr>
            <w:tcW w:type="dxa" w:w="1134"/>
          </w:tcPr>
          <w:p>
            <w:pPr>
              <w:jc w:val="center"/>
            </w:pPr>
            <w:r/>
            <w:r>
              <w:rPr>
                <w:rFonts w:ascii="宋体" w:hAnsi="宋体" w:eastAsia="宋体"/>
                <w:sz w:val="21"/>
              </w:rPr>
              <w:t>36.4%</w:t>
            </w:r>
          </w:p>
        </w:tc>
        <w:tc>
          <w:tcPr>
            <w:tcW w:type="dxa" w:w="1134"/>
          </w:tcPr>
          <w:p>
            <w:pPr>
              <w:jc w:val="center"/>
            </w:pPr>
            <w:r/>
            <w:r>
              <w:rPr>
                <w:rFonts w:ascii="宋体" w:hAnsi="宋体" w:eastAsia="宋体"/>
                <w:sz w:val="21"/>
              </w:rPr>
              <w:t>51.4%</w:t>
            </w:r>
          </w:p>
        </w:tc>
        <w:tc>
          <w:tcPr>
            <w:tcW w:type="dxa" w:w="1134"/>
          </w:tcPr>
          <w:p>
            <w:pPr>
              <w:jc w:val="center"/>
            </w:pPr>
            <w:r/>
            <w:r>
              <w:rPr>
                <w:rFonts w:ascii="宋体" w:hAnsi="宋体" w:eastAsia="宋体"/>
                <w:sz w:val="21"/>
              </w:rPr>
              <w:t>61.5%</w:t>
            </w:r>
          </w:p>
        </w:tc>
      </w:tr>
      <w:tr>
        <w:tc>
          <w:tcPr>
            <w:tcW w:type="dxa" w:w="1701"/>
            <w:shd w:fill="EBF0F7"/>
          </w:tcPr>
          <w:p>
            <w:pPr>
              <w:jc w:val="center"/>
            </w:pPr>
            <w:r/>
            <w:r>
              <w:rPr>
                <w:rFonts w:ascii="宋体" w:hAnsi="宋体" w:eastAsia="宋体"/>
                <w:sz w:val="21"/>
              </w:rPr>
              <w:t>累计净利润（万元）</w:t>
            </w:r>
          </w:p>
        </w:tc>
        <w:tc>
          <w:tcPr>
            <w:tcW w:type="dxa" w:w="1134"/>
            <w:shd w:fill="EBF0F7"/>
          </w:tcPr>
          <w:p>
            <w:pPr>
              <w:jc w:val="center"/>
            </w:pPr>
            <w:r/>
            <w:r>
              <w:rPr>
                <w:rFonts w:ascii="宋体" w:hAnsi="宋体" w:eastAsia="宋体"/>
                <w:sz w:val="21"/>
              </w:rPr>
              <w:t>-190</w:t>
            </w:r>
          </w:p>
        </w:tc>
        <w:tc>
          <w:tcPr>
            <w:tcW w:type="dxa" w:w="1134"/>
            <w:shd w:fill="EBF0F7"/>
          </w:tcPr>
          <w:p>
            <w:pPr>
              <w:jc w:val="center"/>
            </w:pPr>
            <w:r/>
            <w:r>
              <w:rPr>
                <w:rFonts w:ascii="宋体" w:hAnsi="宋体" w:eastAsia="宋体"/>
                <w:sz w:val="21"/>
              </w:rPr>
              <w:t>-170</w:t>
            </w:r>
          </w:p>
        </w:tc>
        <w:tc>
          <w:tcPr>
            <w:tcW w:type="dxa" w:w="1134"/>
            <w:shd w:fill="EBF0F7"/>
          </w:tcPr>
          <w:p>
            <w:pPr>
              <w:jc w:val="center"/>
            </w:pPr>
            <w:r/>
            <w:r>
              <w:rPr>
                <w:rFonts w:ascii="宋体" w:hAnsi="宋体" w:eastAsia="宋体"/>
                <w:sz w:val="21"/>
              </w:rPr>
              <w:t>430</w:t>
            </w:r>
          </w:p>
        </w:tc>
        <w:tc>
          <w:tcPr>
            <w:tcW w:type="dxa" w:w="1134"/>
            <w:shd w:fill="EBF0F7"/>
          </w:tcPr>
          <w:p>
            <w:pPr>
              <w:jc w:val="center"/>
            </w:pPr>
            <w:r/>
            <w:r>
              <w:rPr>
                <w:rFonts w:ascii="宋体" w:hAnsi="宋体" w:eastAsia="宋体"/>
                <w:sz w:val="21"/>
              </w:rPr>
              <w:t>2,330</w:t>
            </w:r>
          </w:p>
        </w:tc>
        <w:tc>
          <w:tcPr>
            <w:tcW w:type="dxa" w:w="1134"/>
            <w:shd w:fill="EBF0F7"/>
          </w:tcPr>
          <w:p>
            <w:pPr>
              <w:jc w:val="center"/>
            </w:pPr>
            <w:r/>
            <w:r>
              <w:rPr>
                <w:rFonts w:ascii="宋体" w:hAnsi="宋体" w:eastAsia="宋体"/>
                <w:sz w:val="21"/>
              </w:rPr>
              <w:t>6,880</w:t>
            </w:r>
          </w:p>
        </w:tc>
      </w:tr>
    </w:tbl>
    <w:p/>
    <w:p>
      <w:pPr>
        <w:spacing w:line="288" w:lineRule="auto" w:after="80"/>
        <w:ind w:firstLine="480"/>
      </w:pPr>
      <w:r>
        <w:rPr>
          <w:rFonts w:ascii="宋体" w:hAnsi="宋体" w:eastAsia="宋体"/>
          <w:sz w:val="24"/>
        </w:rPr>
        <w:t>从以上预测可以看出，项目预计在运营第二年末至第三年初实现盈亏平衡，第三年开始实现规模化盈利。投资回收期约为30个月。五年累计净利润约6,880万元，相对于500万元的初始投资，投资回报率（ROI）约为1,276%。</w:t>
      </w:r>
    </w:p>
    <w:p>
      <w:pPr>
        <w:spacing w:line="288" w:lineRule="auto" w:after="80"/>
        <w:ind w:firstLine="480"/>
      </w:pPr>
      <w:r>
        <w:rPr>
          <w:rFonts w:ascii="宋体" w:hAnsi="宋体" w:eastAsia="宋体"/>
          <w:sz w:val="24"/>
        </w:rPr>
        <w:t>需要强调的是，以上财务预测基于一系列假设条件，实际情况可能因市场竞争加剧、用户增长不及预期、政策环境变化等因素而与预测有较大偏差。我们已预留50万元风险储备金以应对不确定性，同时在运营过程中将根据实际数据持续调整经营策略和财务计划。</w:t>
      </w:r>
    </w:p>
    <w:p>
      <w:r>
        <w:br w:type="page"/>
      </w:r>
    </w:p>
    <w:p>
      <w:pPr>
        <w:spacing w:before="360" w:after="200" w:line="288" w:lineRule="auto"/>
      </w:pPr>
      <w:r>
        <w:rPr>
          <w:rFonts w:ascii="宋体" w:hAnsi="宋体" w:eastAsia="宋体"/>
          <w:b/>
          <w:color w:val="1A3C6E"/>
          <w:sz w:val="28"/>
        </w:rPr>
        <w:t>九、风险分析与应对</w:t>
      </w:r>
    </w:p>
    <w:p>
      <w:pPr>
        <w:spacing w:line="288" w:lineRule="auto" w:after="80"/>
        <w:ind w:firstLine="480"/>
      </w:pPr>
      <w:r>
        <w:rPr>
          <w:rFonts w:ascii="宋体" w:hAnsi="宋体" w:eastAsia="宋体"/>
          <w:sz w:val="24"/>
        </w:rPr>
        <w:t>融衔项目面临的主要风险及应对策略如下：</w:t>
      </w:r>
    </w:p>
    <w:tbl>
      <w:tblPr>
        <w:tblStyle w:val="TableGrid"/>
        <w:tblW w:type="auto" w:w="0"/>
        <w:jc w:val="center"/>
        <w:tblLook w:firstColumn="1" w:firstRow="1" w:lastColumn="0" w:lastRow="0" w:noHBand="0" w:noVBand="1" w:val="04A0"/>
      </w:tblPr>
      <w:tblGrid>
        <w:gridCol w:w="2767"/>
        <w:gridCol w:w="2767"/>
        <w:gridCol w:w="2767"/>
      </w:tblGrid>
      <w:tr>
        <w:tc>
          <w:tcPr>
            <w:tcW w:type="dxa" w:w="1134"/>
            <w:shd w:fill="1A3C6E"/>
          </w:tcPr>
          <w:p>
            <w:pPr>
              <w:jc w:val="center"/>
            </w:pPr>
            <w:r/>
            <w:r>
              <w:rPr>
                <w:rFonts w:ascii="黑体" w:hAnsi="黑体" w:eastAsia="黑体"/>
                <w:b/>
                <w:color w:val="FFFFFF"/>
                <w:sz w:val="21"/>
              </w:rPr>
              <w:t>风险类型</w:t>
            </w:r>
          </w:p>
        </w:tc>
        <w:tc>
          <w:tcPr>
            <w:tcW w:type="dxa" w:w="2835"/>
            <w:shd w:fill="1A3C6E"/>
          </w:tcPr>
          <w:p>
            <w:pPr>
              <w:jc w:val="center"/>
            </w:pPr>
            <w:r/>
            <w:r>
              <w:rPr>
                <w:rFonts w:ascii="黑体" w:hAnsi="黑体" w:eastAsia="黑体"/>
                <w:b/>
                <w:color w:val="FFFFFF"/>
                <w:sz w:val="21"/>
              </w:rPr>
              <w:t>风险描述</w:t>
            </w:r>
          </w:p>
        </w:tc>
        <w:tc>
          <w:tcPr>
            <w:tcW w:type="dxa" w:w="3685"/>
            <w:shd w:fill="1A3C6E"/>
          </w:tcPr>
          <w:p>
            <w:pPr>
              <w:jc w:val="center"/>
            </w:pPr>
            <w:r/>
            <w:r>
              <w:rPr>
                <w:rFonts w:ascii="黑体" w:hAnsi="黑体" w:eastAsia="黑体"/>
                <w:b/>
                <w:color w:val="FFFFFF"/>
                <w:sz w:val="21"/>
              </w:rPr>
              <w:t>应对策略</w:t>
            </w:r>
          </w:p>
        </w:tc>
      </w:tr>
      <w:tr>
        <w:tc>
          <w:tcPr>
            <w:tcW w:type="dxa" w:w="1134"/>
            <w:shd w:fill="EBF0F7"/>
          </w:tcPr>
          <w:p>
            <w:pPr>
              <w:jc w:val="center"/>
            </w:pPr>
            <w:r/>
            <w:r>
              <w:rPr>
                <w:rFonts w:ascii="宋体" w:hAnsi="宋体" w:eastAsia="宋体"/>
                <w:sz w:val="21"/>
              </w:rPr>
              <w:t>市场风险</w:t>
            </w:r>
          </w:p>
        </w:tc>
        <w:tc>
          <w:tcPr>
            <w:tcW w:type="dxa" w:w="2835"/>
            <w:shd w:fill="EBF0F7"/>
          </w:tcPr>
          <w:p>
            <w:pPr>
              <w:jc w:val="center"/>
            </w:pPr>
            <w:r/>
            <w:r>
              <w:rPr>
                <w:rFonts w:ascii="宋体" w:hAnsi="宋体" w:eastAsia="宋体"/>
                <w:sz w:val="21"/>
              </w:rPr>
              <w:t>A股市场具有周期性特征，熊市期间投资者活跃度和付费意愿可能下降；宏观经济不利变化可能影响用户增长</w:t>
            </w:r>
          </w:p>
        </w:tc>
        <w:tc>
          <w:tcPr>
            <w:tcW w:type="dxa" w:w="3685"/>
            <w:shd w:fill="EBF0F7"/>
          </w:tcPr>
          <w:p>
            <w:pPr>
              <w:jc w:val="center"/>
            </w:pPr>
            <w:r/>
            <w:r>
              <w:rPr>
                <w:rFonts w:ascii="宋体" w:hAnsi="宋体" w:eastAsia="宋体"/>
                <w:sz w:val="21"/>
              </w:rPr>
              <w:t>熊市期间强化"风险预警"功能推广，强调产品在下行市场中的风控价值；保持6个月以上运营资金储备；收入来源多元化</w:t>
            </w:r>
          </w:p>
        </w:tc>
      </w:tr>
      <w:tr>
        <w:tc>
          <w:tcPr>
            <w:tcW w:type="dxa" w:w="1134"/>
          </w:tcPr>
          <w:p>
            <w:pPr>
              <w:jc w:val="center"/>
            </w:pPr>
            <w:r/>
            <w:r>
              <w:rPr>
                <w:rFonts w:ascii="宋体" w:hAnsi="宋体" w:eastAsia="宋体"/>
                <w:sz w:val="21"/>
              </w:rPr>
              <w:t>技术风险</w:t>
            </w:r>
          </w:p>
        </w:tc>
        <w:tc>
          <w:tcPr>
            <w:tcW w:type="dxa" w:w="2835"/>
          </w:tcPr>
          <w:p>
            <w:pPr>
              <w:jc w:val="center"/>
            </w:pPr>
            <w:r/>
            <w:r>
              <w:rPr>
                <w:rFonts w:ascii="宋体" w:hAnsi="宋体" w:eastAsia="宋体"/>
                <w:sz w:val="21"/>
              </w:rPr>
              <w:t>数据源接口变动或服务中断可能影响数据更新；用户规模增长可能带来系统性能压力</w:t>
            </w:r>
          </w:p>
        </w:tc>
        <w:tc>
          <w:tcPr>
            <w:tcW w:type="dxa" w:w="3685"/>
          </w:tcPr>
          <w:p>
            <w:pPr>
              <w:jc w:val="center"/>
            </w:pPr>
            <w:r/>
            <w:r>
              <w:rPr>
                <w:rFonts w:ascii="宋体" w:hAnsi="宋体" w:eastAsia="宋体"/>
                <w:sz w:val="21"/>
              </w:rPr>
              <w:t>多数据源冗余切换设计；数据质量监控和交叉验证；提前进行容量规划和性能优化；完善灾备方案</w:t>
            </w:r>
          </w:p>
        </w:tc>
      </w:tr>
      <w:tr>
        <w:tc>
          <w:tcPr>
            <w:tcW w:type="dxa" w:w="1134"/>
            <w:shd w:fill="EBF0F7"/>
          </w:tcPr>
          <w:p>
            <w:pPr>
              <w:jc w:val="center"/>
            </w:pPr>
            <w:r/>
            <w:r>
              <w:rPr>
                <w:rFonts w:ascii="宋体" w:hAnsi="宋体" w:eastAsia="宋体"/>
                <w:sz w:val="21"/>
              </w:rPr>
              <w:t>合规风险</w:t>
            </w:r>
          </w:p>
        </w:tc>
        <w:tc>
          <w:tcPr>
            <w:tcW w:type="dxa" w:w="2835"/>
            <w:shd w:fill="EBF0F7"/>
          </w:tcPr>
          <w:p>
            <w:pPr>
              <w:jc w:val="center"/>
            </w:pPr>
            <w:r/>
            <w:r>
              <w:rPr>
                <w:rFonts w:ascii="宋体" w:hAnsi="宋体" w:eastAsia="宋体"/>
                <w:sz w:val="21"/>
              </w:rPr>
              <w:t>金融监管政策变化可能影响产品功能或商业模式；证券投资咨询业务牌照要求</w:t>
            </w:r>
          </w:p>
        </w:tc>
        <w:tc>
          <w:tcPr>
            <w:tcW w:type="dxa" w:w="3685"/>
            <w:shd w:fill="EBF0F7"/>
          </w:tcPr>
          <w:p>
            <w:pPr>
              <w:jc w:val="center"/>
            </w:pPr>
            <w:r/>
            <w:r>
              <w:rPr>
                <w:rFonts w:ascii="宋体" w:hAnsi="宋体" w:eastAsia="宋体"/>
                <w:sz w:val="21"/>
              </w:rPr>
              <w:t>严格定位为"分析辅助工具"而非"投资建议服务"；聘请法律顾问持续跟踪政策变化；不接入交易接口、不收取收益分成</w:t>
            </w:r>
          </w:p>
        </w:tc>
      </w:tr>
      <w:tr>
        <w:tc>
          <w:tcPr>
            <w:tcW w:type="dxa" w:w="1134"/>
          </w:tcPr>
          <w:p>
            <w:pPr>
              <w:jc w:val="center"/>
            </w:pPr>
            <w:r/>
            <w:r>
              <w:rPr>
                <w:rFonts w:ascii="宋体" w:hAnsi="宋体" w:eastAsia="宋体"/>
                <w:sz w:val="21"/>
              </w:rPr>
              <w:t>竞争风险</w:t>
            </w:r>
          </w:p>
        </w:tc>
        <w:tc>
          <w:tcPr>
            <w:tcW w:type="dxa" w:w="2835"/>
          </w:tcPr>
          <w:p>
            <w:pPr>
              <w:jc w:val="center"/>
            </w:pPr>
            <w:r/>
            <w:r>
              <w:rPr>
                <w:rFonts w:ascii="宋体" w:hAnsi="宋体" w:eastAsia="宋体"/>
                <w:sz w:val="21"/>
              </w:rPr>
              <w:t>头部企业推出类似免费产品或新进入者以补贴策略抢占市场</w:t>
            </w:r>
          </w:p>
        </w:tc>
        <w:tc>
          <w:tcPr>
            <w:tcW w:type="dxa" w:w="3685"/>
          </w:tcPr>
          <w:p>
            <w:pPr>
              <w:jc w:val="center"/>
            </w:pPr>
            <w:r/>
            <w:r>
              <w:rPr>
                <w:rFonts w:ascii="宋体" w:hAnsi="宋体" w:eastAsia="宋体"/>
                <w:sz w:val="21"/>
              </w:rPr>
              <w:t>持续投入产品迭代保持技术领先；通过开源社区建立用户粘性；聚焦细分领域避免与巨头正面竞争</w:t>
            </w:r>
          </w:p>
        </w:tc>
      </w:tr>
      <w:tr>
        <w:tc>
          <w:tcPr>
            <w:tcW w:type="dxa" w:w="1134"/>
            <w:shd w:fill="EBF0F7"/>
          </w:tcPr>
          <w:p>
            <w:pPr>
              <w:jc w:val="center"/>
            </w:pPr>
            <w:r/>
            <w:r>
              <w:rPr>
                <w:rFonts w:ascii="宋体" w:hAnsi="宋体" w:eastAsia="宋体"/>
                <w:sz w:val="21"/>
              </w:rPr>
              <w:t>人才风险</w:t>
            </w:r>
          </w:p>
        </w:tc>
        <w:tc>
          <w:tcPr>
            <w:tcW w:type="dxa" w:w="2835"/>
            <w:shd w:fill="EBF0F7"/>
          </w:tcPr>
          <w:p>
            <w:pPr>
              <w:jc w:val="center"/>
            </w:pPr>
            <w:r/>
            <w:r>
              <w:rPr>
                <w:rFonts w:ascii="宋体" w:hAnsi="宋体" w:eastAsia="宋体"/>
                <w:sz w:val="21"/>
              </w:rPr>
              <w:t>核心技术人员流失可能影响研发进度和产品质量</w:t>
            </w:r>
          </w:p>
        </w:tc>
        <w:tc>
          <w:tcPr>
            <w:tcW w:type="dxa" w:w="3685"/>
            <w:shd w:fill="EBF0F7"/>
          </w:tcPr>
          <w:p>
            <w:pPr>
              <w:jc w:val="center"/>
            </w:pPr>
            <w:r/>
            <w:r>
              <w:rPr>
                <w:rFonts w:ascii="宋体" w:hAnsi="宋体" w:eastAsia="宋体"/>
                <w:sz w:val="21"/>
              </w:rPr>
              <w:t>有竞争力的薪酬体系；股权激励计划；良好的技术文化氛围；关键岗位AB角配置</w:t>
            </w:r>
          </w:p>
        </w:tc>
      </w:tr>
    </w:tbl>
    <w:p/>
    <w:p>
      <w:pPr>
        <w:spacing w:line="288" w:lineRule="auto" w:after="80"/>
        <w:ind w:firstLine="480"/>
      </w:pPr>
      <w:r>
        <w:rPr>
          <w:rFonts w:ascii="宋体" w:hAnsi="宋体" w:eastAsia="宋体"/>
          <w:sz w:val="24"/>
        </w:rPr>
        <w:t>总体而言，我们认为上述风险均在可控范围内。项目采用轻资产运营模式，固定成本相对可控；技术上通过多源冗余和容器化部署保障了系统的可靠性；合规上通过明确的产品定位和免责声明与"投资顾问"业务保持了清晰的界限。在运营过程中，我们将持续关注各类风险的变化，及时调整应对策略。</w:t>
      </w:r>
    </w:p>
    <w:p>
      <w:r>
        <w:br w:type="page"/>
      </w:r>
    </w:p>
    <w:p>
      <w:pPr>
        <w:spacing w:before="360" w:after="200" w:line="288" w:lineRule="auto"/>
      </w:pPr>
      <w:r>
        <w:rPr>
          <w:rFonts w:ascii="宋体" w:hAnsi="宋体" w:eastAsia="宋体"/>
          <w:b/>
          <w:color w:val="1A3C6E"/>
          <w:sz w:val="28"/>
        </w:rPr>
        <w:t>十、发展规划与里程碑</w:t>
      </w:r>
    </w:p>
    <w:p>
      <w:pPr>
        <w:spacing w:line="288" w:lineRule="auto" w:after="80"/>
        <w:ind w:firstLine="480"/>
      </w:pPr>
      <w:r>
        <w:rPr>
          <w:rFonts w:ascii="宋体" w:hAnsi="宋体" w:eastAsia="宋体"/>
          <w:sz w:val="24"/>
        </w:rPr>
        <w:t>融衔项目的发展规划分为三个阶段，每个阶段都有明确的里程碑和关键绩效指标：</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1134"/>
            <w:shd w:fill="1A3C6E"/>
          </w:tcPr>
          <w:p>
            <w:pPr>
              <w:jc w:val="center"/>
            </w:pPr>
            <w:r/>
            <w:r>
              <w:rPr>
                <w:rFonts w:ascii="黑体" w:hAnsi="黑体" w:eastAsia="黑体"/>
                <w:b/>
                <w:color w:val="FFFFFF"/>
                <w:sz w:val="21"/>
              </w:rPr>
              <w:t>阶段</w:t>
            </w:r>
          </w:p>
        </w:tc>
        <w:tc>
          <w:tcPr>
            <w:tcW w:type="dxa" w:w="1417"/>
            <w:shd w:fill="1A3C6E"/>
          </w:tcPr>
          <w:p>
            <w:pPr>
              <w:jc w:val="center"/>
            </w:pPr>
            <w:r/>
            <w:r>
              <w:rPr>
                <w:rFonts w:ascii="黑体" w:hAnsi="黑体" w:eastAsia="黑体"/>
                <w:b/>
                <w:color w:val="FFFFFF"/>
                <w:sz w:val="21"/>
              </w:rPr>
              <w:t>时间</w:t>
            </w:r>
          </w:p>
        </w:tc>
        <w:tc>
          <w:tcPr>
            <w:tcW w:type="dxa" w:w="2835"/>
            <w:shd w:fill="1A3C6E"/>
          </w:tcPr>
          <w:p>
            <w:pPr>
              <w:jc w:val="center"/>
            </w:pPr>
            <w:r/>
            <w:r>
              <w:rPr>
                <w:rFonts w:ascii="黑体" w:hAnsi="黑体" w:eastAsia="黑体"/>
                <w:b/>
                <w:color w:val="FFFFFF"/>
                <w:sz w:val="21"/>
              </w:rPr>
              <w:t>关键里程碑</w:t>
            </w:r>
          </w:p>
        </w:tc>
        <w:tc>
          <w:tcPr>
            <w:tcW w:type="dxa" w:w="2268"/>
            <w:shd w:fill="1A3C6E"/>
          </w:tcPr>
          <w:p>
            <w:pPr>
              <w:jc w:val="center"/>
            </w:pPr>
            <w:r/>
            <w:r>
              <w:rPr>
                <w:rFonts w:ascii="黑体" w:hAnsi="黑体" w:eastAsia="黑体"/>
                <w:b/>
                <w:color w:val="FFFFFF"/>
                <w:sz w:val="21"/>
              </w:rPr>
              <w:t>核心KPI</w:t>
            </w:r>
          </w:p>
        </w:tc>
      </w:tr>
      <w:tr>
        <w:tc>
          <w:tcPr>
            <w:tcW w:type="dxa" w:w="1134"/>
            <w:shd w:fill="EBF0F7"/>
          </w:tcPr>
          <w:p>
            <w:pPr>
              <w:jc w:val="center"/>
            </w:pPr>
            <w:r/>
            <w:r>
              <w:rPr>
                <w:rFonts w:ascii="宋体" w:hAnsi="宋体" w:eastAsia="宋体"/>
                <w:sz w:val="21"/>
              </w:rPr>
              <w:t>产品验证期</w:t>
            </w:r>
          </w:p>
        </w:tc>
        <w:tc>
          <w:tcPr>
            <w:tcW w:type="dxa" w:w="1417"/>
            <w:shd w:fill="EBF0F7"/>
          </w:tcPr>
          <w:p>
            <w:pPr>
              <w:jc w:val="center"/>
            </w:pPr>
            <w:r/>
            <w:r>
              <w:rPr>
                <w:rFonts w:ascii="宋体" w:hAnsi="宋体" w:eastAsia="宋体"/>
                <w:sz w:val="21"/>
              </w:rPr>
              <w:t>0-12个月</w:t>
            </w:r>
          </w:p>
        </w:tc>
        <w:tc>
          <w:tcPr>
            <w:tcW w:type="dxa" w:w="2835"/>
            <w:shd w:fill="EBF0F7"/>
          </w:tcPr>
          <w:p>
            <w:pPr>
              <w:jc w:val="center"/>
            </w:pPr>
            <w:r/>
            <w:r>
              <w:rPr>
                <w:rFonts w:ascii="宋体" w:hAnsi="宋体" w:eastAsia="宋体"/>
                <w:sz w:val="21"/>
              </w:rPr>
              <w:t>完成MVP开发上线；获取种子用户；验证产品核心价值和商业模式</w:t>
            </w:r>
          </w:p>
        </w:tc>
        <w:tc>
          <w:tcPr>
            <w:tcW w:type="dxa" w:w="2268"/>
            <w:shd w:fill="EBF0F7"/>
          </w:tcPr>
          <w:p>
            <w:pPr>
              <w:jc w:val="center"/>
            </w:pPr>
            <w:r/>
            <w:r>
              <w:rPr>
                <w:rFonts w:ascii="宋体" w:hAnsi="宋体" w:eastAsia="宋体"/>
                <w:sz w:val="21"/>
              </w:rPr>
              <w:t>注册用户3,000+；付费用户150+；月留存率&gt;65%</w:t>
            </w:r>
          </w:p>
        </w:tc>
      </w:tr>
      <w:tr>
        <w:tc>
          <w:tcPr>
            <w:tcW w:type="dxa" w:w="1134"/>
          </w:tcPr>
          <w:p>
            <w:pPr>
              <w:jc w:val="center"/>
            </w:pPr>
            <w:r/>
            <w:r>
              <w:rPr>
                <w:rFonts w:ascii="宋体" w:hAnsi="宋体" w:eastAsia="宋体"/>
                <w:sz w:val="21"/>
              </w:rPr>
              <w:t>规模增长期</w:t>
            </w:r>
          </w:p>
        </w:tc>
        <w:tc>
          <w:tcPr>
            <w:tcW w:type="dxa" w:w="1417"/>
          </w:tcPr>
          <w:p>
            <w:pPr>
              <w:jc w:val="center"/>
            </w:pPr>
            <w:r/>
            <w:r>
              <w:rPr>
                <w:rFonts w:ascii="宋体" w:hAnsi="宋体" w:eastAsia="宋体"/>
                <w:sz w:val="21"/>
              </w:rPr>
              <w:t>12-36个月</w:t>
            </w:r>
          </w:p>
        </w:tc>
        <w:tc>
          <w:tcPr>
            <w:tcW w:type="dxa" w:w="2835"/>
          </w:tcPr>
          <w:p>
            <w:pPr>
              <w:jc w:val="center"/>
            </w:pPr>
            <w:r/>
            <w:r>
              <w:rPr>
                <w:rFonts w:ascii="宋体" w:hAnsi="宋体" w:eastAsia="宋体"/>
                <w:sz w:val="21"/>
              </w:rPr>
              <w:t>完善回测和报告功能；推出移动端适配；实现用户规模化增长和盈亏平衡</w:t>
            </w:r>
          </w:p>
        </w:tc>
        <w:tc>
          <w:tcPr>
            <w:tcW w:type="dxa" w:w="2268"/>
          </w:tcPr>
          <w:p>
            <w:pPr>
              <w:jc w:val="center"/>
            </w:pPr>
            <w:r/>
            <w:r>
              <w:rPr>
                <w:rFonts w:ascii="宋体" w:hAnsi="宋体" w:eastAsia="宋体"/>
                <w:sz w:val="21"/>
              </w:rPr>
              <w:t>注册用户35,000+；付费用户2,800+；年营收1,650万+</w:t>
            </w:r>
          </w:p>
        </w:tc>
      </w:tr>
      <w:tr>
        <w:tc>
          <w:tcPr>
            <w:tcW w:type="dxa" w:w="1134"/>
            <w:shd w:fill="EBF0F7"/>
          </w:tcPr>
          <w:p>
            <w:pPr>
              <w:jc w:val="center"/>
            </w:pPr>
            <w:r/>
            <w:r>
              <w:rPr>
                <w:rFonts w:ascii="宋体" w:hAnsi="宋体" w:eastAsia="宋体"/>
                <w:sz w:val="21"/>
              </w:rPr>
              <w:t>平台扩展期</w:t>
            </w:r>
          </w:p>
        </w:tc>
        <w:tc>
          <w:tcPr>
            <w:tcW w:type="dxa" w:w="1417"/>
            <w:shd w:fill="EBF0F7"/>
          </w:tcPr>
          <w:p>
            <w:pPr>
              <w:jc w:val="center"/>
            </w:pPr>
            <w:r/>
            <w:r>
              <w:rPr>
                <w:rFonts w:ascii="宋体" w:hAnsi="宋体" w:eastAsia="宋体"/>
                <w:sz w:val="21"/>
              </w:rPr>
              <w:t>36-60个月</w:t>
            </w:r>
          </w:p>
        </w:tc>
        <w:tc>
          <w:tcPr>
            <w:tcW w:type="dxa" w:w="2835"/>
            <w:shd w:fill="EBF0F7"/>
          </w:tcPr>
          <w:p>
            <w:pPr>
              <w:jc w:val="center"/>
            </w:pPr>
            <w:r/>
            <w:r>
              <w:rPr>
                <w:rFonts w:ascii="宋体" w:hAnsi="宋体" w:eastAsia="宋体"/>
                <w:sz w:val="21"/>
              </w:rPr>
              <w:t>推出API开放平台；拓展港股通和基金分析；建立完整的量化投资工具生态</w:t>
            </w:r>
          </w:p>
        </w:tc>
        <w:tc>
          <w:tcPr>
            <w:tcW w:type="dxa" w:w="2268"/>
            <w:shd w:fill="EBF0F7"/>
          </w:tcPr>
          <w:p>
            <w:pPr>
              <w:jc w:val="center"/>
            </w:pPr>
            <w:r/>
            <w:r>
              <w:rPr>
                <w:rFonts w:ascii="宋体" w:hAnsi="宋体" w:eastAsia="宋体"/>
                <w:sz w:val="21"/>
              </w:rPr>
              <w:t>注册用户150,000+；付费用户15,000+；年营收7,400万+</w:t>
            </w:r>
          </w:p>
        </w:tc>
      </w:tr>
    </w:tbl>
    <w:p/>
    <w:p>
      <w:pPr>
        <w:spacing w:line="288" w:lineRule="auto" w:after="80"/>
        <w:ind w:firstLine="480"/>
      </w:pPr>
      <w:r>
        <w:rPr>
          <w:rFonts w:ascii="宋体" w:hAnsi="宋体" w:eastAsia="宋体"/>
          <w:sz w:val="24"/>
        </w:rPr>
        <w:t>第一阶段（0-12个月）的核心任务是"做出来、用起来"。具体来说：第1-3个月完成核心功能开发——数据接入（AKShare+东方财富）、五维评分模型、基础选股信号生成、个人仪表盘；第4-6个月发布内测版本，通过邀请制获取第一批200-500名种子用户，重点收集用户反馈和产品改进建议；第7-9个月正式上线并推出专业版订阅服务，开始验证商业模式的可行性；第10-12个月根据用户反馈持续优化产品，注册用户目标突破3000。</w:t>
      </w:r>
    </w:p>
    <w:p>
      <w:pPr>
        <w:spacing w:line="288" w:lineRule="auto" w:after="80"/>
        <w:ind w:firstLine="480"/>
      </w:pPr>
      <w:r>
        <w:rPr>
          <w:rFonts w:ascii="宋体" w:hAnsi="宋体" w:eastAsia="宋体"/>
          <w:sz w:val="24"/>
        </w:rPr>
        <w:t>第二阶段（12-36个月）的核心任务是"长大、赚钱"。产品方面，完善策略回测引擎、上线风格化报告、开发移动端适配版本；市场方面，加大内容营销和社区运营力度，建立品牌知名度；财务方面，目标在第30个月左右实现盈亏平衡，第三年实现年营收1650万元以上。</w:t>
      </w:r>
    </w:p>
    <w:p>
      <w:pPr>
        <w:spacing w:line="288" w:lineRule="auto" w:after="80"/>
        <w:ind w:firstLine="480"/>
      </w:pPr>
      <w:r>
        <w:rPr>
          <w:rFonts w:ascii="宋体" w:hAnsi="宋体" w:eastAsia="宋体"/>
          <w:sz w:val="24"/>
        </w:rPr>
        <w:t>第三阶段（36-60个月）的核心任务是"建生态"。推出API开放平台，吸引量化开发者基于融衔的数据和评分构建自己的策略；拓展至港股通、基金分析等新领域；探索企业版和定制化服务。目标是形成一个以融衔评分体系为核心的量化投资工具生态。</w:t>
      </w:r>
    </w:p>
    <w:p>
      <w:pPr>
        <w:spacing w:line="288" w:lineRule="auto" w:after="80"/>
        <w:ind w:firstLine="480"/>
      </w:pPr>
      <w:r>
        <w:rPr>
          <w:rFonts w:ascii="宋体" w:hAnsi="宋体" w:eastAsia="宋体"/>
          <w:sz w:val="24"/>
        </w:rPr>
        <w:t>融衔团队将始终坚持"小步快跑、快速迭代"的创业节奏，在每个阶段结束后进行全面复盘和战略调整。我们有信心通过持续的技术创新和用户价值创造，将融衔打造成为中国个人投资者信赖的智能分析工具。</w:t>
      </w:r>
    </w:p>
    <w:p>
      <w:pPr>
        <w:spacing w:line="288" w:lineRule="auto" w:after="80"/>
        <w:ind w:firstLine="480"/>
      </w:pPr>
      <w:r>
        <w:rPr>
          <w:rFonts w:ascii="宋体" w:hAnsi="宋体" w:eastAsia="宋体"/>
          <w:sz w:val="24"/>
        </w:rPr>
        <w:t>在组织发展方面，我们计划在不同发展阶段匹配相应规模的团队。第一阶段（0-12个月），核心团队5-8人，以技术研发为主，采用扁平化管理；第二阶段（12-36个月），团队扩展至15-25人，增设市场运营和客户服务部门；第三阶段（36-60个月），团队规模达到30-50人，建立产品研发、市场营销、运营管理、财务行政四大业务板块。在人才策略上，核心技术岗位优先从高校计算机、金融工程等专业招聘优秀毕业生，通过实战锻炼快速成长；高级管理和专业岗位通过猎头引进成熟人才。同时建立有竞争力的薪酬体系和股权激励计划，吸引和留住关键人才。</w:t>
      </w:r>
    </w:p>
    <w:p>
      <w:pPr>
        <w:spacing w:line="288" w:lineRule="auto" w:after="80"/>
        <w:ind w:firstLine="480"/>
      </w:pPr>
      <w:r>
        <w:rPr>
          <w:rFonts w:ascii="宋体" w:hAnsi="宋体" w:eastAsia="宋体"/>
          <w:sz w:val="24"/>
        </w:rPr>
        <w:t>在社会责任方面，融衔将积极践行企业社会责任：第一，定期举办免费的投资者教育讲座和线上课程，普及基本的投资分析知识，帮助普通投资者提升金融素养，避免盲目跟风和情绪化交易。第二，与高校合作设立量化投资实习基地，为金融科技领域培养后备人才。第三，在产品设计中融入ESG（环境、社会和公司治理）投资理念，引导投资者关注企业的可持续发展能力。第四，承诺每年将净利润的1%捐赠给金融教育公益组织，支持金融普惠事业。</w:t>
      </w:r>
    </w:p>
    <w:p>
      <w:r>
        <w:br w:type="page"/>
      </w:r>
    </w:p>
    <w:p>
      <w:pPr>
        <w:spacing w:before="360" w:after="200" w:line="288" w:lineRule="auto"/>
      </w:pPr>
      <w:r>
        <w:rPr>
          <w:rFonts w:ascii="宋体" w:hAnsi="宋体" w:eastAsia="宋体"/>
          <w:b/>
          <w:color w:val="1A3C6E"/>
          <w:sz w:val="28"/>
        </w:rPr>
        <w:t>附录A：融衔系统功能截图说明</w:t>
      </w:r>
    </w:p>
    <w:p>
      <w:pPr>
        <w:spacing w:line="288" w:lineRule="auto" w:after="80"/>
        <w:ind w:firstLine="480"/>
      </w:pPr>
      <w:r>
        <w:rPr>
          <w:rFonts w:ascii="宋体" w:hAnsi="宋体" w:eastAsia="宋体"/>
          <w:sz w:val="24"/>
        </w:rPr>
        <w:t>以下为融衔量化投资分析平台的主要功能模块说明，基于系统实际开发情况进行描述。</w:t>
      </w:r>
    </w:p>
    <w:p>
      <w:pPr>
        <w:spacing w:before="240" w:after="120" w:line="288" w:lineRule="auto"/>
      </w:pPr>
      <w:r>
        <w:rPr>
          <w:rFonts w:ascii="宋体" w:hAnsi="宋体" w:eastAsia="宋体"/>
          <w:b/>
          <w:sz w:val="24"/>
        </w:rPr>
        <w:t>A.1 智能仪表盘</w:t>
      </w:r>
    </w:p>
    <w:p>
      <w:pPr>
        <w:spacing w:line="288" w:lineRule="auto" w:after="80"/>
        <w:ind w:firstLine="480"/>
      </w:pPr>
      <w:r>
        <w:rPr>
          <w:rFonts w:ascii="宋体" w:hAnsi="宋体" w:eastAsia="宋体"/>
          <w:sz w:val="24"/>
        </w:rPr>
        <w:t>智能仪表盘是用户登录后的首页，采用卡片式布局，集中展示以下信息：当日市场概况（涨跌家数、涨停跌停数、主要指数涨跌幅）、自选股今日表现（涨跌幅排名、信号变化）、信号统计（今日BUY/SELL信号数量及分布）、系统运行状态（数据同步时间、数据源健康度）。仪表盘支持用户自定义布局和关注指标，不同角色（管理员/分析师/普通用户）看到的内容有所差异。</w:t>
      </w:r>
    </w:p>
    <w:p>
      <w:pPr>
        <w:spacing w:before="240" w:after="120" w:line="288" w:lineRule="auto"/>
      </w:pPr>
      <w:r>
        <w:rPr>
          <w:rFonts w:ascii="宋体" w:hAnsi="宋体" w:eastAsia="宋体"/>
          <w:b/>
          <w:sz w:val="24"/>
        </w:rPr>
        <w:t>A.2 信号中心</w:t>
      </w:r>
    </w:p>
    <w:p>
      <w:pPr>
        <w:spacing w:line="288" w:lineRule="auto" w:after="80"/>
        <w:ind w:firstLine="480"/>
      </w:pPr>
      <w:r>
        <w:rPr>
          <w:rFonts w:ascii="宋体" w:hAnsi="宋体" w:eastAsia="宋体"/>
          <w:sz w:val="24"/>
        </w:rPr>
        <w:t>信号中心以列表形式展示全市场股票的最新评分和信号。用户可以按信号类型（BUY/ADD/WATCH/REDUCE/SELL）筛选，也可以按评分区间、所属行业、市值范围等条件过滤。每只股票的条目显示：股票代码和名称、当前评分（总分和各维度得分）、最新信号类型及变化（相比上一交易日）、关键财务指标摘要。点击可进入个股详情页。</w:t>
      </w:r>
    </w:p>
    <w:p>
      <w:pPr>
        <w:spacing w:before="240" w:after="120" w:line="288" w:lineRule="auto"/>
      </w:pPr>
      <w:r>
        <w:rPr>
          <w:rFonts w:ascii="宋体" w:hAnsi="宋体" w:eastAsia="宋体"/>
          <w:b/>
          <w:sz w:val="24"/>
        </w:rPr>
        <w:t>A.3 策略回测</w:t>
      </w:r>
    </w:p>
    <w:p>
      <w:pPr>
        <w:spacing w:line="288" w:lineRule="auto" w:after="80"/>
        <w:ind w:firstLine="480"/>
      </w:pPr>
      <w:r>
        <w:rPr>
          <w:rFonts w:ascii="宋体" w:hAnsi="宋体" w:eastAsia="宋体"/>
          <w:sz w:val="24"/>
        </w:rPr>
        <w:t>策略回测页面允许用户设定以下参数：选股阈值（如评分≥65）、持仓数量上限（如最多持有20只）、调仓频率（如每月初调仓）、回测时间范围（如2024年1月至2026年3月）、基准指数（默认沪深300）。提交后系统展示回测结果：净值曲线图（组合 vs 基准）、关键指标表（总收益、年化收益、超额收益、最大回撤、夏普比率、胜率）、持仓明细（每次调仓的选股结果）。</w:t>
      </w:r>
    </w:p>
    <w:p>
      <w:pPr>
        <w:spacing w:before="240" w:after="120" w:line="288" w:lineRule="auto"/>
      </w:pPr>
      <w:r>
        <w:rPr>
          <w:rFonts w:ascii="宋体" w:hAnsi="宋体" w:eastAsia="宋体"/>
          <w:b/>
          <w:sz w:val="24"/>
        </w:rPr>
        <w:t>A.4 风格化报告</w:t>
      </w:r>
    </w:p>
    <w:p>
      <w:pPr>
        <w:spacing w:line="288" w:lineRule="auto" w:after="80"/>
        <w:ind w:firstLine="480"/>
      </w:pPr>
      <w:r>
        <w:rPr>
          <w:rFonts w:ascii="宋体" w:hAnsi="宋体" w:eastAsia="宋体"/>
          <w:sz w:val="24"/>
        </w:rPr>
        <w:t>风格化报告模块根据用户选择的投资风格（稳健型/进取型/保守型），从评分数据库中筛选符合条件的标的，生成结构化的投资策略报告。报告内容包括：当前市场环境评估、推荐标的列表及评分详情、建议仓位配置、风险提示。报告支持Markdown和PDF两种导出格式。</w:t>
      </w:r>
    </w:p>
    <w:p>
      <w:pPr>
        <w:spacing w:before="240" w:after="120" w:line="288" w:lineRule="auto"/>
      </w:pPr>
      <w:r>
        <w:rPr>
          <w:rFonts w:ascii="宋体" w:hAnsi="宋体" w:eastAsia="宋体"/>
          <w:b/>
          <w:sz w:val="24"/>
        </w:rPr>
        <w:t>A.5 消息推送</w:t>
      </w:r>
    </w:p>
    <w:p>
      <w:pPr>
        <w:spacing w:line="288" w:lineRule="auto" w:after="80"/>
        <w:ind w:firstLine="480"/>
      </w:pPr>
      <w:r>
        <w:rPr>
          <w:rFonts w:ascii="宋体" w:hAnsi="宋体" w:eastAsia="宋体"/>
          <w:sz w:val="24"/>
        </w:rPr>
        <w:t>消息推送支持两种渠道：QQ邮箱（通过SMTP协议发送）和飞书Webhook（通过HTTP POST请求推送）。用户可在设置页面配置接收渠道和推送频率（每日收盘后推送/仅推送BUY和SELL信号/自定义条件）。推送内容为精简的信号摘要，包含当日新增BUY信号列表、自选股信号变化、风险预警等关键信息。</w:t>
      </w:r>
    </w:p>
    <w:p>
      <w:r>
        <w:br w:type="page"/>
      </w:r>
    </w:p>
    <w:p>
      <w:pPr>
        <w:spacing w:before="360" w:after="200" w:line="288" w:lineRule="auto"/>
      </w:pPr>
      <w:r>
        <w:rPr>
          <w:rFonts w:ascii="宋体" w:hAnsi="宋体" w:eastAsia="宋体"/>
          <w:b/>
          <w:color w:val="1A3C6E"/>
          <w:sz w:val="28"/>
        </w:rPr>
        <w:t>附录B：技术术语说明</w:t>
      </w:r>
    </w:p>
    <w:p>
      <w:pPr>
        <w:spacing w:line="288" w:lineRule="auto" w:after="80"/>
        <w:ind w:firstLine="480"/>
      </w:pPr>
      <w:r>
        <w:rPr>
          <w:rFonts w:ascii="宋体" w:hAnsi="宋体" w:eastAsia="宋体"/>
          <w:sz w:val="24"/>
        </w:rPr>
        <w:t>为便于非技术背景的读者理解本文档中的专业术语，以下对关键术语进行简要解释：</w:t>
      </w:r>
    </w:p>
    <w:tbl>
      <w:tblPr>
        <w:tblStyle w:val="TableGrid"/>
        <w:tblW w:type="auto" w:w="0"/>
        <w:jc w:val="center"/>
        <w:tblLook w:firstColumn="1" w:firstRow="1" w:lastColumn="0" w:lastRow="0" w:noHBand="0" w:noVBand="1" w:val="04A0"/>
      </w:tblPr>
      <w:tblGrid>
        <w:gridCol w:w="2767"/>
        <w:gridCol w:w="2767"/>
        <w:gridCol w:w="2767"/>
      </w:tblGrid>
      <w:tr>
        <w:tc>
          <w:tcPr>
            <w:tcW w:type="dxa" w:w="1417"/>
            <w:shd w:fill="1A3C6E"/>
          </w:tcPr>
          <w:p>
            <w:pPr>
              <w:jc w:val="center"/>
            </w:pPr>
            <w:r/>
            <w:r>
              <w:rPr>
                <w:rFonts w:ascii="黑体" w:hAnsi="黑体" w:eastAsia="黑体"/>
                <w:b/>
                <w:color w:val="FFFFFF"/>
                <w:sz w:val="21"/>
              </w:rPr>
              <w:t>术语</w:t>
            </w:r>
          </w:p>
        </w:tc>
        <w:tc>
          <w:tcPr>
            <w:tcW w:type="dxa" w:w="2835"/>
            <w:shd w:fill="1A3C6E"/>
          </w:tcPr>
          <w:p>
            <w:pPr>
              <w:jc w:val="center"/>
            </w:pPr>
            <w:r/>
            <w:r>
              <w:rPr>
                <w:rFonts w:ascii="黑体" w:hAnsi="黑体" w:eastAsia="黑体"/>
                <w:b/>
                <w:color w:val="FFFFFF"/>
                <w:sz w:val="21"/>
              </w:rPr>
              <w:t>英文/全称</w:t>
            </w:r>
          </w:p>
        </w:tc>
        <w:tc>
          <w:tcPr>
            <w:tcW w:type="dxa" w:w="3402"/>
            <w:shd w:fill="1A3C6E"/>
          </w:tcPr>
          <w:p>
            <w:pPr>
              <w:jc w:val="center"/>
            </w:pPr>
            <w:r/>
            <w:r>
              <w:rPr>
                <w:rFonts w:ascii="黑体" w:hAnsi="黑体" w:eastAsia="黑体"/>
                <w:b/>
                <w:color w:val="FFFFFF"/>
                <w:sz w:val="21"/>
              </w:rPr>
              <w:t>解释</w:t>
            </w:r>
          </w:p>
        </w:tc>
      </w:tr>
      <w:tr>
        <w:tc>
          <w:tcPr>
            <w:tcW w:type="dxa" w:w="1417"/>
            <w:shd w:fill="EBF0F7"/>
          </w:tcPr>
          <w:p>
            <w:pPr>
              <w:jc w:val="center"/>
            </w:pPr>
            <w:r/>
            <w:r>
              <w:rPr>
                <w:rFonts w:ascii="宋体" w:hAnsi="宋体" w:eastAsia="宋体"/>
                <w:sz w:val="21"/>
              </w:rPr>
              <w:t>SaaS</w:t>
            </w:r>
          </w:p>
        </w:tc>
        <w:tc>
          <w:tcPr>
            <w:tcW w:type="dxa" w:w="2835"/>
            <w:shd w:fill="EBF0F7"/>
          </w:tcPr>
          <w:p>
            <w:pPr>
              <w:jc w:val="center"/>
            </w:pPr>
            <w:r/>
            <w:r>
              <w:rPr>
                <w:rFonts w:ascii="宋体" w:hAnsi="宋体" w:eastAsia="宋体"/>
                <w:sz w:val="21"/>
              </w:rPr>
              <w:t>Software as a Service</w:t>
            </w:r>
          </w:p>
        </w:tc>
        <w:tc>
          <w:tcPr>
            <w:tcW w:type="dxa" w:w="3402"/>
            <w:shd w:fill="EBF0F7"/>
          </w:tcPr>
          <w:p>
            <w:pPr>
              <w:jc w:val="center"/>
            </w:pPr>
            <w:r/>
            <w:r>
              <w:rPr>
                <w:rFonts w:ascii="宋体" w:hAnsi="宋体" w:eastAsia="宋体"/>
                <w:sz w:val="21"/>
              </w:rPr>
              <w:t>软件即服务，通过互联网以订阅方式提供软件功能的商业模式</w:t>
            </w:r>
          </w:p>
        </w:tc>
      </w:tr>
      <w:tr>
        <w:tc>
          <w:tcPr>
            <w:tcW w:type="dxa" w:w="1417"/>
          </w:tcPr>
          <w:p>
            <w:pPr>
              <w:jc w:val="center"/>
            </w:pPr>
            <w:r/>
            <w:r>
              <w:rPr>
                <w:rFonts w:ascii="宋体" w:hAnsi="宋体" w:eastAsia="宋体"/>
                <w:sz w:val="21"/>
              </w:rPr>
              <w:t>API</w:t>
            </w:r>
          </w:p>
        </w:tc>
        <w:tc>
          <w:tcPr>
            <w:tcW w:type="dxa" w:w="2835"/>
          </w:tcPr>
          <w:p>
            <w:pPr>
              <w:jc w:val="center"/>
            </w:pPr>
            <w:r/>
            <w:r>
              <w:rPr>
                <w:rFonts w:ascii="宋体" w:hAnsi="宋体" w:eastAsia="宋体"/>
                <w:sz w:val="21"/>
              </w:rPr>
              <w:t>Application Programming Interface</w:t>
            </w:r>
          </w:p>
        </w:tc>
        <w:tc>
          <w:tcPr>
            <w:tcW w:type="dxa" w:w="3402"/>
          </w:tcPr>
          <w:p>
            <w:pPr>
              <w:jc w:val="center"/>
            </w:pPr>
            <w:r/>
            <w:r>
              <w:rPr>
                <w:rFonts w:ascii="宋体" w:hAnsi="宋体" w:eastAsia="宋体"/>
                <w:sz w:val="21"/>
              </w:rPr>
              <w:t>应用程序编程接口，不同软件系统之间进行数据交换的标准化协议</w:t>
            </w:r>
          </w:p>
        </w:tc>
      </w:tr>
      <w:tr>
        <w:tc>
          <w:tcPr>
            <w:tcW w:type="dxa" w:w="1417"/>
            <w:shd w:fill="EBF0F7"/>
          </w:tcPr>
          <w:p>
            <w:pPr>
              <w:jc w:val="center"/>
            </w:pPr>
            <w:r/>
            <w:r>
              <w:rPr>
                <w:rFonts w:ascii="宋体" w:hAnsi="宋体" w:eastAsia="宋体"/>
                <w:sz w:val="21"/>
              </w:rPr>
              <w:t>ORM</w:t>
            </w:r>
          </w:p>
        </w:tc>
        <w:tc>
          <w:tcPr>
            <w:tcW w:type="dxa" w:w="2835"/>
            <w:shd w:fill="EBF0F7"/>
          </w:tcPr>
          <w:p>
            <w:pPr>
              <w:jc w:val="center"/>
            </w:pPr>
            <w:r/>
            <w:r>
              <w:rPr>
                <w:rFonts w:ascii="宋体" w:hAnsi="宋体" w:eastAsia="宋体"/>
                <w:sz w:val="21"/>
              </w:rPr>
              <w:t>Object-Relational Mapping</w:t>
            </w:r>
          </w:p>
        </w:tc>
        <w:tc>
          <w:tcPr>
            <w:tcW w:type="dxa" w:w="3402"/>
            <w:shd w:fill="EBF0F7"/>
          </w:tcPr>
          <w:p>
            <w:pPr>
              <w:jc w:val="center"/>
            </w:pPr>
            <w:r/>
            <w:r>
              <w:rPr>
                <w:rFonts w:ascii="宋体" w:hAnsi="宋体" w:eastAsia="宋体"/>
                <w:sz w:val="21"/>
              </w:rPr>
              <w:t>对象关系映射，将数据库中的表映射为编程语言中的对象，简化数据库操作</w:t>
            </w:r>
          </w:p>
        </w:tc>
      </w:tr>
      <w:tr>
        <w:tc>
          <w:tcPr>
            <w:tcW w:type="dxa" w:w="1417"/>
          </w:tcPr>
          <w:p>
            <w:pPr>
              <w:jc w:val="center"/>
            </w:pPr>
            <w:r/>
            <w:r>
              <w:rPr>
                <w:rFonts w:ascii="宋体" w:hAnsi="宋体" w:eastAsia="宋体"/>
                <w:sz w:val="21"/>
              </w:rPr>
              <w:t>MVP</w:t>
            </w:r>
          </w:p>
        </w:tc>
        <w:tc>
          <w:tcPr>
            <w:tcW w:type="dxa" w:w="2835"/>
          </w:tcPr>
          <w:p>
            <w:pPr>
              <w:jc w:val="center"/>
            </w:pPr>
            <w:r/>
            <w:r>
              <w:rPr>
                <w:rFonts w:ascii="宋体" w:hAnsi="宋体" w:eastAsia="宋体"/>
                <w:sz w:val="21"/>
              </w:rPr>
              <w:t>Minimum Viable Product</w:t>
            </w:r>
          </w:p>
        </w:tc>
        <w:tc>
          <w:tcPr>
            <w:tcW w:type="dxa" w:w="3402"/>
          </w:tcPr>
          <w:p>
            <w:pPr>
              <w:jc w:val="center"/>
            </w:pPr>
            <w:r/>
            <w:r>
              <w:rPr>
                <w:rFonts w:ascii="宋体" w:hAnsi="宋体" w:eastAsia="宋体"/>
                <w:sz w:val="21"/>
              </w:rPr>
              <w:t>最小可行产品，包含核心功能的最简版本，用于快速验证产品假设</w:t>
            </w:r>
          </w:p>
        </w:tc>
      </w:tr>
      <w:tr>
        <w:tc>
          <w:tcPr>
            <w:tcW w:type="dxa" w:w="1417"/>
            <w:shd w:fill="EBF0F7"/>
          </w:tcPr>
          <w:p>
            <w:pPr>
              <w:jc w:val="center"/>
            </w:pPr>
            <w:r/>
            <w:r>
              <w:rPr>
                <w:rFonts w:ascii="宋体" w:hAnsi="宋体" w:eastAsia="宋体"/>
                <w:sz w:val="21"/>
              </w:rPr>
              <w:t>ROE</w:t>
            </w:r>
          </w:p>
        </w:tc>
        <w:tc>
          <w:tcPr>
            <w:tcW w:type="dxa" w:w="2835"/>
            <w:shd w:fill="EBF0F7"/>
          </w:tcPr>
          <w:p>
            <w:pPr>
              <w:jc w:val="center"/>
            </w:pPr>
            <w:r/>
            <w:r>
              <w:rPr>
                <w:rFonts w:ascii="宋体" w:hAnsi="宋体" w:eastAsia="宋体"/>
                <w:sz w:val="21"/>
              </w:rPr>
              <w:t>Return on Equity</w:t>
            </w:r>
          </w:p>
        </w:tc>
        <w:tc>
          <w:tcPr>
            <w:tcW w:type="dxa" w:w="3402"/>
            <w:shd w:fill="EBF0F7"/>
          </w:tcPr>
          <w:p>
            <w:pPr>
              <w:jc w:val="center"/>
            </w:pPr>
            <w:r/>
            <w:r>
              <w:rPr>
                <w:rFonts w:ascii="宋体" w:hAnsi="宋体" w:eastAsia="宋体"/>
                <w:sz w:val="21"/>
              </w:rPr>
              <w:t>净资产收益率，净利润除以股东权益，衡量公司运用自有资本的盈利能力</w:t>
            </w:r>
          </w:p>
        </w:tc>
      </w:tr>
      <w:tr>
        <w:tc>
          <w:tcPr>
            <w:tcW w:type="dxa" w:w="1417"/>
          </w:tcPr>
          <w:p>
            <w:pPr>
              <w:jc w:val="center"/>
            </w:pPr>
            <w:r/>
            <w:r>
              <w:rPr>
                <w:rFonts w:ascii="宋体" w:hAnsi="宋体" w:eastAsia="宋体"/>
                <w:sz w:val="21"/>
              </w:rPr>
              <w:t>PE</w:t>
            </w:r>
          </w:p>
        </w:tc>
        <w:tc>
          <w:tcPr>
            <w:tcW w:type="dxa" w:w="2835"/>
          </w:tcPr>
          <w:p>
            <w:pPr>
              <w:jc w:val="center"/>
            </w:pPr>
            <w:r/>
            <w:r>
              <w:rPr>
                <w:rFonts w:ascii="宋体" w:hAnsi="宋体" w:eastAsia="宋体"/>
                <w:sz w:val="21"/>
              </w:rPr>
              <w:t>Price to Earnings Ratio</w:t>
            </w:r>
          </w:p>
        </w:tc>
        <w:tc>
          <w:tcPr>
            <w:tcW w:type="dxa" w:w="3402"/>
          </w:tcPr>
          <w:p>
            <w:pPr>
              <w:jc w:val="center"/>
            </w:pPr>
            <w:r/>
            <w:r>
              <w:rPr>
                <w:rFonts w:ascii="宋体" w:hAnsi="宋体" w:eastAsia="宋体"/>
                <w:sz w:val="21"/>
              </w:rPr>
              <w:t>市盈率，股价除以每股收益，反映投资者愿意为每元收益支付的价格</w:t>
            </w:r>
          </w:p>
        </w:tc>
      </w:tr>
      <w:tr>
        <w:tc>
          <w:tcPr>
            <w:tcW w:type="dxa" w:w="1417"/>
            <w:shd w:fill="EBF0F7"/>
          </w:tcPr>
          <w:p>
            <w:pPr>
              <w:jc w:val="center"/>
            </w:pPr>
            <w:r/>
            <w:r>
              <w:rPr>
                <w:rFonts w:ascii="宋体" w:hAnsi="宋体" w:eastAsia="宋体"/>
                <w:sz w:val="21"/>
              </w:rPr>
              <w:t>PB</w:t>
            </w:r>
          </w:p>
        </w:tc>
        <w:tc>
          <w:tcPr>
            <w:tcW w:type="dxa" w:w="2835"/>
            <w:shd w:fill="EBF0F7"/>
          </w:tcPr>
          <w:p>
            <w:pPr>
              <w:jc w:val="center"/>
            </w:pPr>
            <w:r/>
            <w:r>
              <w:rPr>
                <w:rFonts w:ascii="宋体" w:hAnsi="宋体" w:eastAsia="宋体"/>
                <w:sz w:val="21"/>
              </w:rPr>
              <w:t>Price to Book Ratio</w:t>
            </w:r>
          </w:p>
        </w:tc>
        <w:tc>
          <w:tcPr>
            <w:tcW w:type="dxa" w:w="3402"/>
            <w:shd w:fill="EBF0F7"/>
          </w:tcPr>
          <w:p>
            <w:pPr>
              <w:jc w:val="center"/>
            </w:pPr>
            <w:r/>
            <w:r>
              <w:rPr>
                <w:rFonts w:ascii="宋体" w:hAnsi="宋体" w:eastAsia="宋体"/>
                <w:sz w:val="21"/>
              </w:rPr>
              <w:t>市净率，股价除以每股净资产，用于衡量股票相对于其账面价值的定价</w:t>
            </w:r>
          </w:p>
        </w:tc>
      </w:tr>
      <w:tr>
        <w:tc>
          <w:tcPr>
            <w:tcW w:type="dxa" w:w="1417"/>
          </w:tcPr>
          <w:p>
            <w:pPr>
              <w:jc w:val="center"/>
            </w:pPr>
            <w:r/>
            <w:r>
              <w:rPr>
                <w:rFonts w:ascii="宋体" w:hAnsi="宋体" w:eastAsia="宋体"/>
                <w:sz w:val="21"/>
              </w:rPr>
              <w:t>MACD</w:t>
            </w:r>
          </w:p>
        </w:tc>
        <w:tc>
          <w:tcPr>
            <w:tcW w:type="dxa" w:w="2835"/>
          </w:tcPr>
          <w:p>
            <w:pPr>
              <w:jc w:val="center"/>
            </w:pPr>
            <w:r/>
            <w:r>
              <w:rPr>
                <w:rFonts w:ascii="宋体" w:hAnsi="宋体" w:eastAsia="宋体"/>
                <w:sz w:val="21"/>
              </w:rPr>
              <w:t>Moving Average Convergence Divergence</w:t>
            </w:r>
          </w:p>
        </w:tc>
        <w:tc>
          <w:tcPr>
            <w:tcW w:type="dxa" w:w="3402"/>
          </w:tcPr>
          <w:p>
            <w:pPr>
              <w:jc w:val="center"/>
            </w:pPr>
            <w:r/>
            <w:r>
              <w:rPr>
                <w:rFonts w:ascii="宋体" w:hAnsi="宋体" w:eastAsia="宋体"/>
                <w:sz w:val="21"/>
              </w:rPr>
              <w:t>指数平滑异同移动平均线，通过两条均线的交叉和背离判断趋势变化</w:t>
            </w:r>
          </w:p>
        </w:tc>
      </w:tr>
      <w:tr>
        <w:tc>
          <w:tcPr>
            <w:tcW w:type="dxa" w:w="1417"/>
            <w:shd w:fill="EBF0F7"/>
          </w:tcPr>
          <w:p>
            <w:pPr>
              <w:jc w:val="center"/>
            </w:pPr>
            <w:r/>
            <w:r>
              <w:rPr>
                <w:rFonts w:ascii="宋体" w:hAnsi="宋体" w:eastAsia="宋体"/>
                <w:sz w:val="21"/>
              </w:rPr>
              <w:t>MA60</w:t>
            </w:r>
          </w:p>
        </w:tc>
        <w:tc>
          <w:tcPr>
            <w:tcW w:type="dxa" w:w="2835"/>
            <w:shd w:fill="EBF0F7"/>
          </w:tcPr>
          <w:p>
            <w:pPr>
              <w:jc w:val="center"/>
            </w:pPr>
            <w:r/>
            <w:r>
              <w:rPr>
                <w:rFonts w:ascii="宋体" w:hAnsi="宋体" w:eastAsia="宋体"/>
                <w:sz w:val="21"/>
              </w:rPr>
              <w:t>60-day Moving Average</w:t>
            </w:r>
          </w:p>
        </w:tc>
        <w:tc>
          <w:tcPr>
            <w:tcW w:type="dxa" w:w="3402"/>
            <w:shd w:fill="EBF0F7"/>
          </w:tcPr>
          <w:p>
            <w:pPr>
              <w:jc w:val="center"/>
            </w:pPr>
            <w:r/>
            <w:r>
              <w:rPr>
                <w:rFonts w:ascii="宋体" w:hAnsi="宋体" w:eastAsia="宋体"/>
                <w:sz w:val="21"/>
              </w:rPr>
              <w:t>60日移动平均线，将最近60个交易日的收盘价取平均，用于判断中期趋势方向</w:t>
            </w:r>
          </w:p>
        </w:tc>
      </w:tr>
      <w:tr>
        <w:tc>
          <w:tcPr>
            <w:tcW w:type="dxa" w:w="1417"/>
          </w:tcPr>
          <w:p>
            <w:pPr>
              <w:jc w:val="center"/>
            </w:pPr>
            <w:r/>
            <w:r>
              <w:rPr>
                <w:rFonts w:ascii="宋体" w:hAnsi="宋体" w:eastAsia="宋体"/>
                <w:sz w:val="21"/>
              </w:rPr>
              <w:t>夏普比率</w:t>
            </w:r>
          </w:p>
        </w:tc>
        <w:tc>
          <w:tcPr>
            <w:tcW w:type="dxa" w:w="2835"/>
          </w:tcPr>
          <w:p>
            <w:pPr>
              <w:jc w:val="center"/>
            </w:pPr>
            <w:r/>
            <w:r>
              <w:rPr>
                <w:rFonts w:ascii="宋体" w:hAnsi="宋体" w:eastAsia="宋体"/>
                <w:sz w:val="21"/>
              </w:rPr>
              <w:t>Sharpe Ratio</w:t>
            </w:r>
          </w:p>
        </w:tc>
        <w:tc>
          <w:tcPr>
            <w:tcW w:type="dxa" w:w="3402"/>
          </w:tcPr>
          <w:p>
            <w:pPr>
              <w:jc w:val="center"/>
            </w:pPr>
            <w:r/>
            <w:r>
              <w:rPr>
                <w:rFonts w:ascii="宋体" w:hAnsi="宋体" w:eastAsia="宋体"/>
                <w:sz w:val="21"/>
              </w:rPr>
              <w:t>（组合收益率-无风险利率）/组合收益率标准差，衡量每承担一单位风险获得的超额收益</w:t>
            </w:r>
          </w:p>
        </w:tc>
      </w:tr>
      <w:tr>
        <w:tc>
          <w:tcPr>
            <w:tcW w:type="dxa" w:w="1417"/>
            <w:shd w:fill="EBF0F7"/>
          </w:tcPr>
          <w:p>
            <w:pPr>
              <w:jc w:val="center"/>
            </w:pPr>
            <w:r/>
            <w:r>
              <w:rPr>
                <w:rFonts w:ascii="宋体" w:hAnsi="宋体" w:eastAsia="宋体"/>
                <w:sz w:val="21"/>
              </w:rPr>
              <w:t>最大回撤</w:t>
            </w:r>
          </w:p>
        </w:tc>
        <w:tc>
          <w:tcPr>
            <w:tcW w:type="dxa" w:w="2835"/>
            <w:shd w:fill="EBF0F7"/>
          </w:tcPr>
          <w:p>
            <w:pPr>
              <w:jc w:val="center"/>
            </w:pPr>
            <w:r/>
            <w:r>
              <w:rPr>
                <w:rFonts w:ascii="宋体" w:hAnsi="宋体" w:eastAsia="宋体"/>
                <w:sz w:val="21"/>
              </w:rPr>
              <w:t>Maximum Drawdown</w:t>
            </w:r>
          </w:p>
        </w:tc>
        <w:tc>
          <w:tcPr>
            <w:tcW w:type="dxa" w:w="3402"/>
            <w:shd w:fill="EBF0F7"/>
          </w:tcPr>
          <w:p>
            <w:pPr>
              <w:jc w:val="center"/>
            </w:pPr>
            <w:r/>
            <w:r>
              <w:rPr>
                <w:rFonts w:ascii="宋体" w:hAnsi="宋体" w:eastAsia="宋体"/>
                <w:sz w:val="21"/>
              </w:rPr>
              <w:t>投资组合净值从历史最高点到最低点的最大跌幅，衡量最坏情况下的损失程度</w:t>
            </w:r>
          </w:p>
        </w:tc>
      </w:tr>
      <w:tr>
        <w:tc>
          <w:tcPr>
            <w:tcW w:type="dxa" w:w="1417"/>
          </w:tcPr>
          <w:p>
            <w:pPr>
              <w:jc w:val="center"/>
            </w:pPr>
            <w:r/>
            <w:r>
              <w:rPr>
                <w:rFonts w:ascii="宋体" w:hAnsi="宋体" w:eastAsia="宋体"/>
                <w:sz w:val="21"/>
              </w:rPr>
              <w:t>ARPU</w:t>
            </w:r>
          </w:p>
        </w:tc>
        <w:tc>
          <w:tcPr>
            <w:tcW w:type="dxa" w:w="2835"/>
          </w:tcPr>
          <w:p>
            <w:pPr>
              <w:jc w:val="center"/>
            </w:pPr>
            <w:r/>
            <w:r>
              <w:rPr>
                <w:rFonts w:ascii="宋体" w:hAnsi="宋体" w:eastAsia="宋体"/>
                <w:sz w:val="21"/>
              </w:rPr>
              <w:t>Average Revenue Per User</w:t>
            </w:r>
          </w:p>
        </w:tc>
        <w:tc>
          <w:tcPr>
            <w:tcW w:type="dxa" w:w="3402"/>
          </w:tcPr>
          <w:p>
            <w:pPr>
              <w:jc w:val="center"/>
            </w:pPr>
            <w:r/>
            <w:r>
              <w:rPr>
                <w:rFonts w:ascii="宋体" w:hAnsi="宋体" w:eastAsia="宋体"/>
                <w:sz w:val="21"/>
              </w:rPr>
              <w:t>每用户平均收入，总营收除以活跃用户数，衡量单个用户的商业价值</w:t>
            </w:r>
          </w:p>
        </w:tc>
      </w:tr>
      <w:tr>
        <w:tc>
          <w:tcPr>
            <w:tcW w:type="dxa" w:w="1417"/>
            <w:shd w:fill="EBF0F7"/>
          </w:tcPr>
          <w:p>
            <w:pPr>
              <w:jc w:val="center"/>
            </w:pPr>
            <w:r/>
            <w:r>
              <w:rPr>
                <w:rFonts w:ascii="宋体" w:hAnsi="宋体" w:eastAsia="宋体"/>
                <w:sz w:val="21"/>
              </w:rPr>
              <w:t>CAC</w:t>
            </w:r>
          </w:p>
        </w:tc>
        <w:tc>
          <w:tcPr>
            <w:tcW w:type="dxa" w:w="2835"/>
            <w:shd w:fill="EBF0F7"/>
          </w:tcPr>
          <w:p>
            <w:pPr>
              <w:jc w:val="center"/>
            </w:pPr>
            <w:r/>
            <w:r>
              <w:rPr>
                <w:rFonts w:ascii="宋体" w:hAnsi="宋体" w:eastAsia="宋体"/>
                <w:sz w:val="21"/>
              </w:rPr>
              <w:t>Customer Acquisition Cost</w:t>
            </w:r>
          </w:p>
        </w:tc>
        <w:tc>
          <w:tcPr>
            <w:tcW w:type="dxa" w:w="3402"/>
            <w:shd w:fill="EBF0F7"/>
          </w:tcPr>
          <w:p>
            <w:pPr>
              <w:jc w:val="center"/>
            </w:pPr>
            <w:r/>
            <w:r>
              <w:rPr>
                <w:rFonts w:ascii="宋体" w:hAnsi="宋体" w:eastAsia="宋体"/>
                <w:sz w:val="21"/>
              </w:rPr>
              <w:t>获客成本，获取一个新用户所花费的平均营销费用</w:t>
            </w:r>
          </w:p>
        </w:tc>
      </w:tr>
      <w:tr>
        <w:tc>
          <w:tcPr>
            <w:tcW w:type="dxa" w:w="1417"/>
          </w:tcPr>
          <w:p>
            <w:pPr>
              <w:jc w:val="center"/>
            </w:pPr>
            <w:r/>
            <w:r>
              <w:rPr>
                <w:rFonts w:ascii="宋体" w:hAnsi="宋体" w:eastAsia="宋体"/>
                <w:sz w:val="21"/>
              </w:rPr>
              <w:t>LTV</w:t>
            </w:r>
          </w:p>
        </w:tc>
        <w:tc>
          <w:tcPr>
            <w:tcW w:type="dxa" w:w="2835"/>
          </w:tcPr>
          <w:p>
            <w:pPr>
              <w:jc w:val="center"/>
            </w:pPr>
            <w:r/>
            <w:r>
              <w:rPr>
                <w:rFonts w:ascii="宋体" w:hAnsi="宋体" w:eastAsia="宋体"/>
                <w:sz w:val="21"/>
              </w:rPr>
              <w:t>Lifetime Value</w:t>
            </w:r>
          </w:p>
        </w:tc>
        <w:tc>
          <w:tcPr>
            <w:tcW w:type="dxa" w:w="3402"/>
          </w:tcPr>
          <w:p>
            <w:pPr>
              <w:jc w:val="center"/>
            </w:pPr>
            <w:r/>
            <w:r>
              <w:rPr>
                <w:rFonts w:ascii="宋体" w:hAnsi="宋体" w:eastAsia="宋体"/>
                <w:sz w:val="21"/>
              </w:rPr>
              <w:t>用户生命周期价值，一个用户在整个使用期间为企业带来的总营收</w:t>
            </w:r>
          </w:p>
        </w:tc>
      </w:tr>
      <w:tr>
        <w:tc>
          <w:tcPr>
            <w:tcW w:type="dxa" w:w="1417"/>
            <w:shd w:fill="EBF0F7"/>
          </w:tcPr>
          <w:p>
            <w:pPr>
              <w:jc w:val="center"/>
            </w:pPr>
            <w:r/>
            <w:r>
              <w:rPr>
                <w:rFonts w:ascii="宋体" w:hAnsi="宋体" w:eastAsia="宋体"/>
                <w:sz w:val="21"/>
              </w:rPr>
              <w:t>JWT</w:t>
            </w:r>
          </w:p>
        </w:tc>
        <w:tc>
          <w:tcPr>
            <w:tcW w:type="dxa" w:w="2835"/>
            <w:shd w:fill="EBF0F7"/>
          </w:tcPr>
          <w:p>
            <w:pPr>
              <w:jc w:val="center"/>
            </w:pPr>
            <w:r/>
            <w:r>
              <w:rPr>
                <w:rFonts w:ascii="宋体" w:hAnsi="宋体" w:eastAsia="宋体"/>
                <w:sz w:val="21"/>
              </w:rPr>
              <w:t>JSON Web Token</w:t>
            </w:r>
          </w:p>
        </w:tc>
        <w:tc>
          <w:tcPr>
            <w:tcW w:type="dxa" w:w="3402"/>
            <w:shd w:fill="EBF0F7"/>
          </w:tcPr>
          <w:p>
            <w:pPr>
              <w:jc w:val="center"/>
            </w:pPr>
            <w:r/>
            <w:r>
              <w:rPr>
                <w:rFonts w:ascii="宋体" w:hAnsi="宋体" w:eastAsia="宋体"/>
                <w:sz w:val="21"/>
              </w:rPr>
              <w:t>一种基于JSON的开放标准，用于在网络应用间安全地传递用户身份信息</w:t>
            </w:r>
          </w:p>
        </w:tc>
      </w:tr>
      <w:tr>
        <w:tc>
          <w:tcPr>
            <w:tcW w:type="dxa" w:w="1417"/>
          </w:tcPr>
          <w:p>
            <w:pPr>
              <w:jc w:val="center"/>
            </w:pPr>
            <w:r/>
            <w:r>
              <w:rPr>
                <w:rFonts w:ascii="宋体" w:hAnsi="宋体" w:eastAsia="宋体"/>
                <w:sz w:val="21"/>
              </w:rPr>
              <w:t>HTTPS</w:t>
            </w:r>
          </w:p>
        </w:tc>
        <w:tc>
          <w:tcPr>
            <w:tcW w:type="dxa" w:w="2835"/>
          </w:tcPr>
          <w:p>
            <w:pPr>
              <w:jc w:val="center"/>
            </w:pPr>
            <w:r/>
            <w:r>
              <w:rPr>
                <w:rFonts w:ascii="宋体" w:hAnsi="宋体" w:eastAsia="宋体"/>
                <w:sz w:val="21"/>
              </w:rPr>
              <w:t>HyperText Transfer Protocol Secure</w:t>
            </w:r>
          </w:p>
        </w:tc>
        <w:tc>
          <w:tcPr>
            <w:tcW w:type="dxa" w:w="3402"/>
          </w:tcPr>
          <w:p>
            <w:pPr>
              <w:jc w:val="center"/>
            </w:pPr>
            <w:r/>
            <w:r>
              <w:rPr>
                <w:rFonts w:ascii="宋体" w:hAnsi="宋体" w:eastAsia="宋体"/>
                <w:sz w:val="21"/>
              </w:rPr>
              <w:t>安全超文本传输协议，在HTTP基础上加入SSL/TLS加密，保护数据传输安全</w:t>
            </w:r>
          </w:p>
        </w:tc>
      </w:tr>
    </w:tbl>
    <w:p/>
    <w:p/>
    <w:p>
      <w:pPr>
        <w:jc w:val="center"/>
      </w:pPr>
      <w:r>
        <w:rPr>
          <w:rFonts w:ascii="楷体" w:hAnsi="楷体" w:eastAsia="楷体"/>
          <w:color w:val="999999"/>
          <w:sz w:val="28"/>
        </w:rPr>
        <w:t>—— 本计划书到此结束 ——</w:t>
      </w:r>
    </w:p>
    <w:p/>
    <w:p>
      <w:pPr>
        <w:jc w:val="center"/>
      </w:pPr>
      <w:r>
        <w:rPr>
          <w:rFonts w:ascii="宋体" w:hAnsi="宋体" w:eastAsia="宋体"/>
          <w:color w:val="999999"/>
          <w:sz w:val="21"/>
        </w:rPr>
        <w:t>融衔科技团队  |  2026年6月</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