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 w:eastAsia="Heiti SC"/>
          <w:color w:val="000000"/>
        </w:rPr>
        <w:t>AI测评内容生产工作台</w:t>
      </w:r>
    </w:p>
    <w:p>
      <w:r>
        <w:rPr>
          <w:rFonts w:ascii="Arial" w:hAnsi="Arial" w:eastAsia="Heiti SC"/>
          <w:color w:val="000000"/>
        </w:rPr>
        <w:t>AI产品经理作品集 · AI Benchmark Studio</w:t>
      </w:r>
    </w:p>
    <w:p>
      <w:pPr>
        <w:pStyle w:val="Heading1"/>
      </w:pPr>
      <w:r>
        <w:rPr>
          <w:rFonts w:ascii="Arial" w:hAnsi="Arial" w:eastAsia="Heiti SC"/>
          <w:color w:val="000000"/>
        </w:rPr>
        <w:t>01 需求与产品方案</w:t>
      </w:r>
    </w:p>
    <w:p>
      <w:pPr>
        <w:pStyle w:val="Heading2"/>
      </w:pPr>
      <w:r>
        <w:rPr>
          <w:rFonts w:ascii="Arial" w:hAnsi="Arial" w:eastAsia="Heiti SC"/>
          <w:color w:val="000000"/>
        </w:rPr>
        <w:t>项目概况</w:t>
      </w:r>
    </w:p>
    <w:p>
      <w:r>
        <w:rPr>
          <w:rFonts w:ascii="Arial" w:hAnsi="Arial" w:eastAsia="Heiti SC"/>
          <w:color w:val="000000"/>
        </w:rPr>
        <w:t>面向内容编辑，将产品调研、测试方案、人工实测、证据整理和社区写作串成工作流，输出有原始材料支撑、可编辑的测评文章。</w:t>
      </w:r>
    </w:p>
    <w:p>
      <w:r>
        <w:rPr>
          <w:rFonts w:ascii="Arial" w:hAnsi="Arial" w:eastAsia="Heiti SC"/>
          <w:color w:val="000000"/>
        </w:rPr>
        <w:t>项目由我与 Codex 协作落地。我参与需求拆解、流程与质量规则设计、样稿反馈及验收，Codex 辅助方案细化、开发与工程验证。原项目为2026年8–9月，本文包含持续至10月的个人迭代。</w:t>
      </w:r>
    </w:p>
    <w:p>
      <w:pPr>
        <w:pStyle w:val="Heading2"/>
      </w:pPr>
      <w:r>
        <w:rPr>
          <w:rFonts w:ascii="Arial" w:hAnsi="Arial" w:eastAsia="Heiti SC"/>
          <w:color w:val="000000"/>
        </w:rPr>
        <w:t>需求分析</w:t>
      </w:r>
    </w:p>
    <w:p>
      <w:r>
        <w:rPr>
          <w:rFonts w:ascii="Arial" w:hAnsi="Arial" w:eastAsia="Heiti SC"/>
          <w:color w:val="000000"/>
        </w:rPr>
        <w:t>业务起点是36氪AI测评网冷启动时的内容供给需求：需要补充测评文章，人工写手成本高、质量一般。目标是在维持基础内容质量的前提下，降低单篇可采用文章的生产成本。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075"/>
        <w:gridCol w:w="4939"/>
        <w:gridCol w:w="1008"/>
      </w:tblGrid>
      <w:tr>
        <w:trPr>
          <w:cantSplit/>
          <w:tblHeader/>
        </w:trPr>
        <w:tc>
          <w:tcPr>
            <w:tcW w:type="dxa" w:w="407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FF5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Heiti SC"/>
                <w:b/>
                <w:color w:val="000000"/>
                <w:sz w:val="20"/>
              </w:rPr>
              <w:t>工作中的问题</w:t>
            </w:r>
          </w:p>
        </w:tc>
        <w:tc>
          <w:tcPr>
            <w:tcW w:type="dxa" w:w="493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FF5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Heiti SC"/>
                <w:b/>
                <w:color w:val="000000"/>
                <w:sz w:val="20"/>
              </w:rPr>
              <w:t>产品需求</w:t>
            </w:r>
          </w:p>
        </w:tc>
        <w:tc>
          <w:tcPr>
            <w:tcW w:type="dxa" w:w="100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FF5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Heiti SC"/>
                <w:b/>
                <w:color w:val="000000"/>
                <w:sz w:val="20"/>
              </w:rPr>
              <w:t>优先级</w:t>
            </w:r>
          </w:p>
        </w:tc>
      </w:tr>
      <w:tr>
        <w:trPr>
          <w:cantSplit/>
        </w:trPr>
        <w:tc>
          <w:tcPr>
            <w:tcW w:type="dxa" w:w="407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调研、实测和写作材料分散，反复整理</w:t>
            </w:r>
          </w:p>
        </w:tc>
        <w:tc>
          <w:tcPr>
            <w:tcW w:type="dxa" w:w="493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统一任务、原始证据与稿件，减少重复输入</w:t>
            </w:r>
          </w:p>
        </w:tc>
        <w:tc>
          <w:tcPr>
            <w:tcW w:type="dxa" w:w="100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P0</w:t>
            </w:r>
          </w:p>
        </w:tc>
      </w:tr>
      <w:tr>
        <w:trPr>
          <w:cantSplit/>
        </w:trPr>
        <w:tc>
          <w:tcPr>
            <w:tcW w:type="dxa" w:w="407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AI会编造经历、混淆任务要求与实际结果</w:t>
            </w:r>
          </w:p>
        </w:tc>
        <w:tc>
          <w:tcPr>
            <w:tcW w:type="dxa" w:w="493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证据约束、人工确认、独立审核</w:t>
            </w:r>
          </w:p>
        </w:tc>
        <w:tc>
          <w:tcPr>
            <w:tcW w:type="dxa" w:w="100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P0</w:t>
            </w:r>
          </w:p>
        </w:tc>
      </w:tr>
      <w:tr>
        <w:trPr>
          <w:cantSplit/>
        </w:trPr>
        <w:tc>
          <w:tcPr>
            <w:tcW w:type="dxa" w:w="407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各产品输入条件不同，评分依据不一致</w:t>
            </w:r>
          </w:p>
        </w:tc>
        <w:tc>
          <w:tcPr>
            <w:tcW w:type="dxa" w:w="493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执行前锁定方案，按任务制定评分标准</w:t>
            </w:r>
          </w:p>
        </w:tc>
        <w:tc>
          <w:tcPr>
            <w:tcW w:type="dxa" w:w="100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P0</w:t>
            </w:r>
          </w:p>
        </w:tc>
      </w:tr>
      <w:tr>
        <w:trPr>
          <w:cantSplit/>
        </w:trPr>
        <w:tc>
          <w:tcPr>
            <w:tcW w:type="dxa" w:w="4075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长流程等待多，刷新或失败后容易重复生成</w:t>
            </w:r>
          </w:p>
        </w:tc>
        <w:tc>
          <w:tcPr>
            <w:tcW w:type="dxa" w:w="493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后台执行、阶段保存、有限重试和新版本</w:t>
            </w:r>
          </w:p>
        </w:tc>
        <w:tc>
          <w:tcPr>
            <w:tcW w:type="dxa" w:w="100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P1</w:t>
            </w:r>
          </w:p>
        </w:tc>
      </w:tr>
    </w:tbl>
    <w:p>
      <w:pPr>
        <w:spacing w:after="20" w:before="0" w:line="60" w:lineRule="exact"/>
      </w:pPr>
      <w:r>
        <w:rPr>
          <w:rFonts w:ascii="Arial" w:hAnsi="Arial" w:eastAsia="Heiti SC"/>
          <w:color w:val="000000"/>
          <w:sz w:val="6"/>
        </w:rPr>
      </w:r>
    </w:p>
    <w:p>
      <w:r>
        <w:rPr>
          <w:rFonts w:ascii="Arial" w:hAnsi="Arial" w:eastAsia="Heiti SC"/>
          <w:color w:val="000000"/>
        </w:rPr>
        <w:t>需求依据为实际业务场景和使用反馈；用户访谈、人工稿费用及工时基线尚未系统采集。</w:t>
      </w:r>
    </w:p>
    <w:p>
      <w:pPr>
        <w:pStyle w:val="Heading2"/>
      </w:pPr>
      <w:r>
        <w:rPr>
          <w:rFonts w:ascii="Arial" w:hAnsi="Arial" w:eastAsia="Heiti SC"/>
          <w:color w:val="000000"/>
        </w:rPr>
        <w:t>产品范围与取舍</w:t>
      </w:r>
    </w:p>
    <w:p>
      <w:r>
        <w:rPr>
          <w:rFonts w:ascii="Arial" w:hAnsi="Arial" w:eastAsia="Heiti SC"/>
          <w:color w:val="000000"/>
        </w:rPr>
        <w:t>MVP支持1–3款产品。快速模式默认一个核心任务，采用方案后由人实测、上传原始结果，再确认发现并生成文章。专业模式保留多任务、完整复核与报告；报告后置，避免阻塞成稿。</w:t>
      </w:r>
    </w:p>
    <w:p>
      <w:r>
        <w:rPr>
          <w:rFonts w:ascii="Arial" w:hAnsi="Arial" w:eastAsia="Heiti SC"/>
          <w:color w:val="000000"/>
        </w:rPr>
        <w:t>采用“固定工作流＋人工关口”：可重复的整理和写作交给AI，真实测试、关键发现与最终采用交给人。保留实测成本和事实检查，暂不自动操作第三方产品或自动发布到社区。</w:t>
      </w:r>
    </w:p>
    <w:p>
      <w:r>
        <w:rPr>
          <w:rFonts w:ascii="Arial" w:hAnsi="Arial" w:eastAsia="Heiti SC"/>
          <w:color w:val="000000"/>
        </w:rPr>
        <w:t>目标指标是任务可采用率、每篇采用稿的综合成本和人工编辑工时。业务目标是否达成，仍需同口径对照。</w:t>
      </w:r>
    </w:p>
    <w:p>
      <w:r>
        <w:rPr>
          <w:rFonts w:ascii="Arial" w:hAnsi="Arial" w:eastAsia="Heiti SC"/>
          <w:color w:val="000000"/>
        </w:rPr>
        <w:t>线上产品：</w:t>
      </w:r>
      <w:hyperlink r:id="rId10">
        <w:r>
          <w:rPr>
            <w:color w:val="145A86"/>
            <w:rFonts w:ascii="Arial" w:hAnsi="Arial" w:eastAsia="Heiti SC"/>
          </w:rPr>
          <w:t>AI Benchmark Studio</w:t>
        </w:r>
      </w:hyperlink>
      <w:r>
        <w:rPr>
          <w:rFonts w:ascii="Arial" w:hAnsi="Arial" w:eastAsia="Heiti SC"/>
          <w:color w:val="000000"/>
        </w:rPr>
        <w:t>。</w:t>
      </w:r>
    </w:p>
    <w:p>
      <w:r>
        <w:br w:type="page"/>
      </w:r>
    </w:p>
    <w:p>
      <w:pPr>
        <w:pStyle w:val="Heading1"/>
      </w:pPr>
      <w:r>
        <w:rPr>
          <w:rFonts w:ascii="Arial" w:hAnsi="Arial" w:eastAsia="Heiti SC"/>
          <w:color w:val="000000"/>
        </w:rPr>
        <w:t>02 模型选择与可信度设计</w:t>
      </w:r>
    </w:p>
    <w:p>
      <w:pPr>
        <w:pStyle w:val="Heading2"/>
      </w:pPr>
      <w:r>
        <w:rPr>
          <w:rFonts w:ascii="Arial" w:hAnsi="Arial" w:eastAsia="Heiti SC"/>
          <w:color w:val="000000"/>
        </w:rPr>
        <w:t>按任务和模态配置模型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707"/>
        <w:gridCol w:w="3571"/>
        <w:gridCol w:w="3744"/>
      </w:tblGrid>
      <w:tr>
        <w:trPr>
          <w:cantSplit/>
          <w:tblHeader/>
        </w:trPr>
        <w:tc>
          <w:tcPr>
            <w:tcW w:type="dxa" w:w="270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FF5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Heiti SC"/>
                <w:b/>
                <w:color w:val="000000"/>
                <w:sz w:val="20"/>
              </w:rPr>
              <w:t>任务</w:t>
            </w:r>
          </w:p>
        </w:tc>
        <w:tc>
          <w:tcPr>
            <w:tcW w:type="dxa" w:w="357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FF5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000000"/>
                <w:sz w:val="20"/>
              </w:rPr>
              <w:t>当前默认配置</w:t>
            </w:r>
          </w:p>
        </w:tc>
        <w:tc>
          <w:tcPr>
            <w:tcW w:type="dxa" w:w="374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FF5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000000"/>
                <w:sz w:val="20"/>
              </w:rPr>
              <w:t>选择依据与边界</w:t>
            </w:r>
          </w:p>
        </w:tc>
      </w:tr>
      <w:tr>
        <w:trPr>
          <w:cantSplit/>
        </w:trPr>
        <w:tc>
          <w:tcPr>
            <w:tcW w:type="dxa" w:w="270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检索与资料整理</w:t>
            </w:r>
          </w:p>
        </w:tc>
        <w:tc>
          <w:tcPr>
            <w:tcW w:type="dxa" w:w="357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智谱 search-prime＋glm-5.2</w:t>
            </w:r>
          </w:p>
        </w:tc>
        <w:tc>
          <w:tcPr>
            <w:tcW w:type="dxa" w:w="374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先获取来源，再整理事实，未知信息不凭记忆补齐</w:t>
            </w:r>
          </w:p>
        </w:tc>
      </w:tr>
      <w:tr>
        <w:trPr>
          <w:cantSplit/>
        </w:trPr>
        <w:tc>
          <w:tcPr>
            <w:tcW w:type="dxa" w:w="270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可比性、方案、文本评分与分析</w:t>
            </w:r>
          </w:p>
        </w:tc>
        <w:tc>
          <w:tcPr>
            <w:tcW w:type="dxa" w:w="357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DeepSeek deepseek-v4-pro</w:t>
            </w:r>
          </w:p>
        </w:tc>
        <w:tc>
          <w:tcPr>
            <w:tcW w:type="dxa" w:w="374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承担分析与结构化判断；复杂任务按需使用较高推理强度</w:t>
            </w:r>
          </w:p>
        </w:tc>
      </w:tr>
      <w:tr>
        <w:trPr>
          <w:cantSplit/>
        </w:trPr>
        <w:tc>
          <w:tcPr>
            <w:tcW w:type="dxa" w:w="270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选题与写作规划</w:t>
            </w:r>
          </w:p>
        </w:tc>
        <w:tc>
          <w:tcPr>
            <w:tcW w:type="dxa" w:w="357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DeepSeek deepseek-v4-pro</w:t>
            </w:r>
          </w:p>
        </w:tc>
        <w:tc>
          <w:tcPr>
            <w:tcW w:type="dxa" w:w="374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先判断证据是否足以支撑主线，再交给写作模型</w:t>
            </w:r>
          </w:p>
        </w:tc>
      </w:tr>
      <w:tr>
        <w:trPr>
          <w:cantSplit/>
        </w:trPr>
        <w:tc>
          <w:tcPr>
            <w:tcW w:type="dxa" w:w="270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正文、标题、修订与文本审稿</w:t>
            </w:r>
          </w:p>
        </w:tc>
        <w:tc>
          <w:tcPr>
            <w:tcW w:type="dxa" w:w="357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DeepSeek deepseek-v4-flash</w:t>
            </w:r>
          </w:p>
        </w:tc>
        <w:tc>
          <w:tcPr>
            <w:tcW w:type="dxa" w:w="374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写作使用非思考模式；控制复杂度，具体质量与成本优势待对照</w:t>
            </w:r>
          </w:p>
        </w:tc>
      </w:tr>
      <w:tr>
        <w:trPr>
          <w:cantSplit/>
        </w:trPr>
        <w:tc>
          <w:tcPr>
            <w:tcW w:type="dxa" w:w="270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图片理解、多模态评分及发现</w:t>
            </w:r>
          </w:p>
        </w:tc>
        <w:tc>
          <w:tcPr>
            <w:tcW w:type="dxa" w:w="357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智谱 glm-4.6v</w:t>
            </w:r>
          </w:p>
        </w:tc>
        <w:tc>
          <w:tcPr>
            <w:tcW w:type="dxa" w:w="374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直接读取视觉证据；视频先解码和取帧，不能据稀疏帧评价整片</w:t>
            </w:r>
          </w:p>
        </w:tc>
      </w:tr>
      <w:tr>
        <w:trPr>
          <w:cantSplit/>
        </w:trPr>
        <w:tc>
          <w:tcPr>
            <w:tcW w:type="dxa" w:w="270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专业报告</w:t>
            </w:r>
          </w:p>
        </w:tc>
        <w:tc>
          <w:tcPr>
            <w:tcW w:type="dxa" w:w="357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智谱 glm-5.2</w:t>
            </w:r>
          </w:p>
        </w:tc>
        <w:tc>
          <w:tcPr>
            <w:tcW w:type="dxa" w:w="374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组织已确定的分析和证据，不重新判分或改变排名</w:t>
            </w:r>
          </w:p>
        </w:tc>
      </w:tr>
    </w:tbl>
    <w:p>
      <w:pPr>
        <w:spacing w:after="20" w:before="0" w:line="60" w:lineRule="exact"/>
      </w:pPr>
      <w:r>
        <w:rPr>
          <w:rFonts w:ascii="Arial" w:hAnsi="Arial" w:eastAsia="Heiti SC"/>
          <w:color w:val="000000"/>
          <w:sz w:val="6"/>
        </w:rPr>
      </w:r>
    </w:p>
    <w:p>
      <w:r>
        <w:rPr>
          <w:rFonts w:ascii="Arial" w:hAnsi="Arial" w:eastAsia="Heiti SC"/>
          <w:color w:val="000000"/>
        </w:rPr>
        <w:t>以上来自当前代码默认路由，环境变量可覆盖；历史调用以实际模型与Prompt审计为准。分工已落地，统一模型对照尚待完成。</w:t>
      </w:r>
    </w:p>
    <w:p>
      <w:pPr>
        <w:pStyle w:val="Heading2"/>
      </w:pPr>
      <w:r>
        <w:rPr>
          <w:rFonts w:ascii="Arial" w:hAnsi="Arial" w:eastAsia="Heiti SC"/>
          <w:color w:val="000000"/>
        </w:rPr>
        <w:t>如何完成选型验证</w:t>
      </w:r>
    </w:p>
    <w:p>
      <w:r>
        <w:rPr>
          <w:rFonts w:ascii="Arial" w:hAnsi="Arial" w:eastAsia="Heiti SC"/>
          <w:color w:val="000000"/>
        </w:rPr>
        <w:t>先比较写作节点：冻结同一Brief和证据，当前配置与一个具备相应能力的候选配置分别生成，隐藏模型身份做人工盲评。建议每任务每配置3次，按任务汇总全部输出；质量底线通过后，再比较采用、成本和耗时。统一对照尚待运行。</w:t>
      </w:r>
    </w:p>
    <w:p>
      <w:r>
        <w:rPr>
          <w:rFonts w:ascii="Arial" w:hAnsi="Arial" w:eastAsia="Heiti SC"/>
          <w:color w:val="000000"/>
        </w:rPr>
        <w:t>审核器单独测试正常稿、历史错误稿和人工挑战稿，分别统计漏检与误拦截。不能因候选审核更宽松，就认定写作质量提升。</w:t>
      </w:r>
    </w:p>
    <w:p>
      <w:pPr>
        <w:pStyle w:val="Heading2"/>
      </w:pPr>
      <w:r>
        <w:rPr>
          <w:rFonts w:ascii="Arial" w:hAnsi="Arial" w:eastAsia="Heiti SC"/>
          <w:color w:val="000000"/>
        </w:rPr>
        <w:t>准确性与幻觉控制</w:t>
      </w:r>
    </w:p>
    <w:p>
      <w:pPr>
        <w:ind w:left="144" w:hanging="144"/>
      </w:pPr>
      <w:r>
        <w:rPr>
          <w:rFonts w:ascii="Arial" w:hAnsi="Arial" w:eastAsia="Heiti SC"/>
          <w:color w:val="000000"/>
        </w:rPr>
        <w:t>• 输入端：区分产品声称、任务要求、实际结果和作者判断；写作只接收相关原始材料及确认发现，不把报告排名直接扩成正文。</w:t>
      </w:r>
    </w:p>
    <w:p>
      <w:pPr>
        <w:ind w:left="144" w:hanging="144"/>
      </w:pPr>
      <w:r>
        <w:rPr>
          <w:rFonts w:ascii="Arial" w:hAnsi="Arial" w:eastAsia="Heiti SC"/>
          <w:color w:val="000000"/>
        </w:rPr>
        <w:t>• 生成端：用Schema约束字段和引用；禁止新增无依据的经历、数字与收益，证据不足时缩小结论或停止。</w:t>
      </w:r>
    </w:p>
    <w:p>
      <w:pPr>
        <w:ind w:left="144" w:hanging="144"/>
      </w:pPr>
      <w:r>
        <w:rPr>
          <w:rFonts w:ascii="Arial" w:hAnsi="Arial" w:eastAsia="Heiti SC"/>
          <w:color w:val="000000"/>
        </w:rPr>
        <w:t>• 审核端：只读初审定位到当前稿件原句，必要时定向修订一次，再独立核验最终全文；不合格不保存为ready。</w:t>
      </w:r>
    </w:p>
    <w:p>
      <w:pPr>
        <w:ind w:left="144" w:hanging="144"/>
      </w:pPr>
      <w:r>
        <w:rPr>
          <w:rFonts w:ascii="Arial" w:hAnsi="Arial" w:eastAsia="Heiti SC"/>
          <w:color w:val="000000"/>
        </w:rPr>
        <w:t>• 运行端：统一服务端路由，记录输入签名、模型、Prompt、输出与错误；同供应商有界修复，不静默切换供应商或回退假数据。</w:t>
      </w:r>
    </w:p>
    <w:p>
      <w:r>
        <w:rPr>
          <w:rFonts w:ascii="Arial" w:hAnsi="Arial" w:eastAsia="Heiti SC"/>
          <w:color w:val="000000"/>
        </w:rPr>
        <w:t>原始回答支持某句话，只能证明材料一致性；价格、能力等外部事实仍须核查来源。模型审核可能漏检或误判，人工确认不可省略。</w:t>
      </w:r>
    </w:p>
    <w:p>
      <w:r>
        <w:br w:type="page"/>
      </w:r>
    </w:p>
    <w:p>
      <w:pPr>
        <w:pStyle w:val="Heading1"/>
      </w:pPr>
      <w:r>
        <w:rPr>
          <w:rFonts w:ascii="Arial" w:hAnsi="Arial" w:eastAsia="Heiti SC"/>
          <w:color w:val="000000"/>
        </w:rPr>
        <w:t>03 工作流与节点评测</w:t>
      </w:r>
    </w:p>
    <w:p>
      <w:r>
        <w:rPr>
          <w:rFonts w:ascii="Arial" w:hAnsi="Arial" w:eastAsia="Heiti SC"/>
          <w:color w:val="000000"/>
        </w:rPr>
        <w:t>主流程：目标 → 调研 → 锁定方案 → 人工实测 → 证据读取 → 匿名评分 → 复核揭盲 → 确认发现 → 写作与审核 → 人工采用。</w:t>
      </w:r>
    </w:p>
    <w:p>
      <w:r>
        <w:rPr>
          <w:rFonts w:ascii="Arial" w:hAnsi="Arial" w:eastAsia="Heiti SC"/>
          <w:color w:val="000000"/>
        </w:rPr>
        <w:t>专业分析与报告从最终评分分支生成，不阻塞快速写作。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69"/>
        <w:gridCol w:w="2333"/>
        <w:gridCol w:w="2794"/>
        <w:gridCol w:w="3427"/>
      </w:tblGrid>
      <w:tr>
        <w:trPr>
          <w:cantSplit/>
          <w:tblHeader/>
        </w:trPr>
        <w:tc>
          <w:tcPr>
            <w:tcW w:type="dxa" w:w="146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FF5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Heiti SC"/>
                <w:b/>
                <w:color w:val="000000"/>
                <w:sz w:val="20"/>
              </w:rPr>
              <w:t>阶段</w:t>
            </w:r>
          </w:p>
        </w:tc>
        <w:tc>
          <w:tcPr>
            <w:tcW w:type="dxa" w:w="233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FF5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000000"/>
                <w:sz w:val="20"/>
              </w:rPr>
              <w:t>输入 → 输出</w:t>
            </w:r>
          </w:p>
        </w:tc>
        <w:tc>
          <w:tcPr>
            <w:tcW w:type="dxa" w:w="27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FF5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000000"/>
                <w:sz w:val="20"/>
              </w:rPr>
              <w:t>已有验收要求</w:t>
            </w:r>
          </w:p>
        </w:tc>
        <w:tc>
          <w:tcPr>
            <w:tcW w:type="dxa" w:w="342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FF5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000000"/>
                <w:sz w:val="20"/>
              </w:rPr>
              <w:t>节点效果评测设计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N00 项目与目标</w:t>
            </w:r>
          </w:p>
        </w:tc>
        <w:tc>
          <w:tcPr>
            <w:tcW w:type="dxa" w:w="233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意图、1–3款产品 → 项目、模式</w:t>
            </w:r>
          </w:p>
        </w:tc>
        <w:tc>
          <w:tcPr>
            <w:tcW w:type="dxa" w:w="27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字段和身份合法；保存后刷新可读</w:t>
            </w:r>
          </w:p>
        </w:tc>
        <w:tc>
          <w:tcPr>
            <w:tcW w:type="dxa" w:w="342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合法、冲突及重复提交用例；人工检查目标能否转为具体任务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N01 调研与可比性</w:t>
            </w:r>
          </w:p>
        </w:tc>
        <w:tc>
          <w:tcPr>
            <w:tcW w:type="dxa" w:w="233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产品、官网、意图 → 资料、来源、共同能力</w:t>
            </w:r>
          </w:p>
        </w:tc>
        <w:tc>
          <w:tcPr>
            <w:tcW w:type="dxa" w:w="27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来源来自检索；未知明确；可比性基于已存资料</w:t>
            </w:r>
          </w:p>
        </w:tc>
        <w:tc>
          <w:tcPr>
            <w:tcW w:type="dxa" w:w="342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关键主张支持、资料时效与覆盖；对照独立人工可比性判断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N02 方案与锁定</w:t>
            </w:r>
          </w:p>
        </w:tc>
        <w:tc>
          <w:tcPr>
            <w:tcW w:type="dxa" w:w="233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资料、输入限制 → 任务、Prompt、评分标准</w:t>
            </w:r>
          </w:p>
        </w:tc>
        <w:tc>
          <w:tcPr>
            <w:tcW w:type="dxa" w:w="27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权重合计100%；输入可执行；看结果前锁定，修改建新版本</w:t>
            </w:r>
          </w:p>
        </w:tc>
        <w:tc>
          <w:tcPr>
            <w:tcW w:type="dxa" w:w="342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人工检查相关性、可执行、可留证、可评分；记录被迫改Prompt的任务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N03 人工实测</w:t>
            </w:r>
          </w:p>
        </w:tc>
        <w:tc>
          <w:tcPr>
            <w:tcW w:type="dxa" w:w="233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锁定方案、产品 → 原始文件或文本、执行记录</w:t>
            </w:r>
          </w:p>
        </w:tc>
        <w:tc>
          <w:tcPr>
            <w:tcW w:type="dxa" w:w="27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同任务同条件；每个测试有有效证据；不生成替代截图</w:t>
            </w:r>
          </w:p>
        </w:tc>
        <w:tc>
          <w:tcPr>
            <w:tcW w:type="dxa" w:w="342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测上传、半成功和重试；抽查执行一致性与记录完整性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N04 证据读取</w:t>
            </w:r>
          </w:p>
        </w:tc>
        <w:tc>
          <w:tcPr>
            <w:tcW w:type="dxa" w:w="233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原始文本、图片、PDF或视频 → 可追溯内容与限制</w:t>
            </w:r>
          </w:p>
        </w:tc>
        <w:tc>
          <w:tcPr>
            <w:tcW w:type="dxa" w:w="27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引用与哈希可核对；视频最多12帧；ASR当前未接入，不评价声音</w:t>
            </w:r>
          </w:p>
        </w:tc>
        <w:tc>
          <w:tcPr>
            <w:tcW w:type="dxa" w:w="342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对照原始材料标注观察正确与遗漏；解析成功和语义正确分别统计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N05 匿名评分</w:t>
            </w:r>
          </w:p>
        </w:tc>
        <w:tc>
          <w:tcPr>
            <w:tcW w:type="dxa" w:w="233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锁定标准、匿名样本、证据 → 维度分、理由、引用</w:t>
            </w:r>
          </w:p>
        </w:tc>
        <w:tc>
          <w:tcPr>
            <w:tcW w:type="dxa" w:w="27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分数0–10，矩阵完整；同任务模型配置一致；原始AI分不可覆盖</w:t>
            </w:r>
          </w:p>
        </w:tc>
        <w:tc>
          <w:tcPr>
            <w:tcW w:type="dxa" w:w="342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独立人工先盲评，再比较维度分偏差、排序和重复稳定性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N06 复核与揭盲</w:t>
            </w:r>
          </w:p>
        </w:tc>
        <w:tc>
          <w:tcPr>
            <w:tcW w:type="dxa" w:w="233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匿名分、异常项 → 最终分、纠偏事件、揭盲状态</w:t>
            </w:r>
          </w:p>
        </w:tc>
        <w:tc>
          <w:tcPr>
            <w:tcW w:type="dxa" w:w="27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理由必填；只改具体维度；先锁定后揭盲；保留修改审计</w:t>
            </w:r>
          </w:p>
        </w:tc>
        <w:tc>
          <w:tcPr>
            <w:tcW w:type="dxa" w:w="342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越序访问、改分与恢复用例；抽查自动接受项是否遗漏错误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N07 发现确认</w:t>
            </w:r>
          </w:p>
        </w:tc>
        <w:tc>
          <w:tcPr>
            <w:tcW w:type="dxa" w:w="233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实测证据、上下文 → 观察、影响、限制</w:t>
            </w:r>
          </w:p>
        </w:tc>
        <w:tc>
          <w:tcPr>
            <w:tcW w:type="dxa" w:w="27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观察与解释分开；引用归属正确；人工确认后才写作</w:t>
            </w:r>
          </w:p>
        </w:tc>
        <w:tc>
          <w:tcPr>
            <w:tcW w:type="dxa" w:w="342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逐项标支持、矛盾或无法核验；检查遗漏与过度概括</w:t>
            </w:r>
          </w:p>
        </w:tc>
      </w:tr>
    </w:tbl>
    <w:p>
      <w:pPr>
        <w:spacing w:after="20" w:before="0" w:line="60" w:lineRule="exact"/>
      </w:pPr>
      <w:r>
        <w:rPr>
          <w:rFonts w:ascii="Arial" w:hAnsi="Arial" w:eastAsia="Heiti SC"/>
          <w:color w:val="000000"/>
          <w:sz w:val="6"/>
        </w:rPr>
      </w:r>
    </w:p>
    <w:p>
      <w:r>
        <w:rPr>
          <w:rFonts w:ascii="Arial" w:hAnsi="Arial" w:eastAsia="Heiti SC"/>
          <w:color w:val="000000"/>
        </w:rPr>
        <w:t>“已有验收”是当前机制；“效果评测”是待统一执行的量化设计。各项标通过或失败并记录原因，节点通过率以全部有效运行作分母。每个AI节点既用合格固定输入测自身能力，也用真实上游输出测误差传播。</w:t>
      </w:r>
    </w:p>
    <w:p>
      <w:r>
        <w:br w:type="page"/>
      </w:r>
    </w:p>
    <w:p>
      <w:pPr>
        <w:pStyle w:val="Heading1"/>
      </w:pPr>
      <w:r>
        <w:rPr>
          <w:rFonts w:ascii="Arial" w:hAnsi="Arial" w:eastAsia="Heiti SC"/>
          <w:color w:val="000000"/>
        </w:rPr>
        <w:t>04 写作节点与交付验收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69"/>
        <w:gridCol w:w="2333"/>
        <w:gridCol w:w="2794"/>
        <w:gridCol w:w="3427"/>
      </w:tblGrid>
      <w:tr>
        <w:trPr>
          <w:cantSplit/>
          <w:tblHeader/>
        </w:trPr>
        <w:tc>
          <w:tcPr>
            <w:tcW w:type="dxa" w:w="146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FF5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Heiti SC"/>
                <w:b/>
                <w:color w:val="000000"/>
                <w:sz w:val="20"/>
              </w:rPr>
              <w:t>阶段</w:t>
            </w:r>
          </w:p>
        </w:tc>
        <w:tc>
          <w:tcPr>
            <w:tcW w:type="dxa" w:w="233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FF5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000000"/>
                <w:sz w:val="20"/>
              </w:rPr>
              <w:t>输入 → 输出</w:t>
            </w:r>
          </w:p>
        </w:tc>
        <w:tc>
          <w:tcPr>
            <w:tcW w:type="dxa" w:w="27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FF5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000000"/>
                <w:sz w:val="20"/>
              </w:rPr>
              <w:t>已有验收要求</w:t>
            </w:r>
          </w:p>
        </w:tc>
        <w:tc>
          <w:tcPr>
            <w:tcW w:type="dxa" w:w="342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FF5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000000"/>
                <w:sz w:val="20"/>
              </w:rPr>
              <w:t>节点效果评测设计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N08 选题与Brief</w:t>
            </w:r>
          </w:p>
        </w:tc>
        <w:tc>
          <w:tcPr>
            <w:tcW w:type="dxa" w:w="233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确认发现、证据、偏好 → 候选角度、写作主线与边界</w:t>
            </w:r>
          </w:p>
        </w:tc>
        <w:tc>
          <w:tcPr>
            <w:tcW w:type="dxa" w:w="27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观点有据、主次合理；比较有共同任务；引用无效不继续</w:t>
            </w:r>
          </w:p>
        </w:tc>
        <w:tc>
          <w:tcPr>
            <w:tcW w:type="dxa" w:w="342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人工检查读者问题、证据分量及选题价值；记录拒选原因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N09 初稿</w:t>
            </w:r>
          </w:p>
        </w:tc>
        <w:tc>
          <w:tcPr>
            <w:tcW w:type="dxa" w:w="233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Brief、事实、原始细节 → 标题、正文、标签、互动句</w:t>
            </w:r>
          </w:p>
        </w:tc>
        <w:tc>
          <w:tcPr>
            <w:tcW w:type="dxa" w:w="27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遵守字段和渠道规则；标题具体；不编造亲历、数字或收益</w:t>
            </w:r>
          </w:p>
        </w:tc>
        <w:tc>
          <w:tcPr>
            <w:tcW w:type="dxa" w:w="342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固定输入盲评事实支持、问题回答、具体细节和表达；记录编辑负担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N10 只读初审</w:t>
            </w:r>
          </w:p>
        </w:tc>
        <w:tc>
          <w:tcPr>
            <w:tcW w:type="dxa" w:w="233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实际稿件、材料 → 质量判断、定位问题与修改指令</w:t>
            </w:r>
          </w:p>
        </w:tc>
        <w:tc>
          <w:tcPr>
            <w:tcW w:type="dxa" w:w="27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引文逐字属于当前稿；拒绝有具体原因；不替写正文</w:t>
            </w:r>
          </w:p>
        </w:tc>
        <w:tc>
          <w:tcPr>
            <w:tcW w:type="dxa" w:w="342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正常稿与错误稿同时测；统计漏检、误拦截和定位正确性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N11 定向修订</w:t>
            </w:r>
          </w:p>
        </w:tc>
        <w:tc>
          <w:tcPr>
            <w:tcW w:type="dxa" w:w="233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原稿、问题、同一证据 → 修订标题、正文、互动句</w:t>
            </w:r>
          </w:p>
        </w:tc>
        <w:tc>
          <w:tcPr>
            <w:tcW w:type="dxa" w:w="27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仅有问题时运行；一次业务修订；来源元数据由程序保留</w:t>
            </w:r>
          </w:p>
        </w:tc>
        <w:tc>
          <w:tcPr>
            <w:tcW w:type="dxa" w:w="342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人工比较问题修复、新增错误与无关改动；保留失败修订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N12 最终审核</w:t>
            </w:r>
          </w:p>
        </w:tc>
        <w:tc>
          <w:tcPr>
            <w:tcW w:type="dxa" w:w="233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最终全文、原稿、证据 → 审核结果、新文章版本</w:t>
            </w:r>
          </w:p>
        </w:tc>
        <w:tc>
          <w:tcPr>
            <w:tcW w:type="dxa" w:w="27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审核对象与保存稿一致；事实或质量不通过不能ready；配图来自真实证据</w:t>
            </w:r>
          </w:p>
        </w:tc>
        <w:tc>
          <w:tcPr>
            <w:tcW w:type="dxa" w:w="342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抽查实际保存稿的误放行、范围漂移和截图对应性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N13 编辑与采用</w:t>
            </w:r>
          </w:p>
        </w:tc>
        <w:tc>
          <w:tcPr>
            <w:tcW w:type="dxa" w:w="233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成稿、人工修改 → 新版本、复制稿</w:t>
            </w:r>
          </w:p>
        </w:tc>
        <w:tc>
          <w:tcPr>
            <w:tcW w:type="dxa" w:w="27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保留旧稿；手工稿不继承AI已审标记；人决定是否发布</w:t>
            </w:r>
          </w:p>
        </w:tc>
        <w:tc>
          <w:tcPr>
            <w:tcW w:type="dxa" w:w="342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拟补采用事件、原因和编辑工时；ready与复制不直接算采用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N14 专业分析与报告</w:t>
            </w:r>
          </w:p>
        </w:tc>
        <w:tc>
          <w:tcPr>
            <w:tcW w:type="dxa" w:w="233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最终分、证据、审计 → 分析、专业报告</w:t>
            </w:r>
          </w:p>
        </w:tc>
        <w:tc>
          <w:tcPr>
            <w:tcW w:type="dxa" w:w="279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分数签名一致；不改评分与排名；专业失败不影响已有文章</w:t>
            </w:r>
          </w:p>
        </w:tc>
        <w:tc>
          <w:tcPr>
            <w:tcW w:type="dxa" w:w="342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程序核对数值与版本；人工检查解释支持、建议范围和限制</w:t>
            </w:r>
          </w:p>
        </w:tc>
      </w:tr>
    </w:tbl>
    <w:p>
      <w:pPr>
        <w:spacing w:after="20" w:before="0" w:line="60" w:lineRule="exact"/>
      </w:pPr>
      <w:r>
        <w:rPr>
          <w:rFonts w:ascii="Arial" w:hAnsi="Arial" w:eastAsia="Heiti SC"/>
          <w:color w:val="000000"/>
          <w:sz w:val="6"/>
        </w:rPr>
      </w:r>
    </w:p>
    <w:p>
      <w:pPr>
        <w:pStyle w:val="Heading2"/>
      </w:pPr>
      <w:r>
        <w:rPr>
          <w:rFonts w:ascii="Arial" w:hAnsi="Arial" w:eastAsia="Heiti SC"/>
          <w:color w:val="000000"/>
        </w:rPr>
        <w:t>输入输出的关键契约</w:t>
      </w:r>
    </w:p>
    <w:p>
      <w:r>
        <w:rPr>
          <w:rFonts w:ascii="Arial" w:hAnsi="Arial" w:eastAsia="Heiti SC"/>
          <w:color w:val="000000"/>
        </w:rPr>
        <w:t>审核问题包含“字段、原句、问题类型、原因、修改指令”，必须指向实际稿件。修订只返回标题、正文、互动句，不能改评分、素材或证据归属。每次新生成创建新版本，旧成稿和原始实测保持。</w:t>
      </w:r>
    </w:p>
    <w:p>
      <w:pPr>
        <w:pStyle w:val="Heading2"/>
      </w:pPr>
      <w:r>
        <w:rPr>
          <w:rFonts w:ascii="Arial" w:hAnsi="Arial" w:eastAsia="Heiti SC"/>
          <w:color w:val="000000"/>
        </w:rPr>
        <w:t>人的判断与自然表达</w:t>
      </w:r>
    </w:p>
    <w:p>
      <w:r>
        <w:rPr>
          <w:rFonts w:ascii="Arial" w:hAnsi="Arial" w:eastAsia="Heiti SC"/>
          <w:color w:val="000000"/>
        </w:rPr>
        <w:t>作者可补充真实用途、关注点、取舍和选择；模型据此表达有限判断，不能代填经历。评测时检查细节是否来自原始材料、段落是否推进、是否重复免责或空泛总结；“像人写的”不靠编造亲历实现。</w:t>
      </w:r>
    </w:p>
    <w:p>
      <w:pPr>
        <w:pStyle w:val="Heading2"/>
      </w:pPr>
      <w:r>
        <w:rPr>
          <w:rFonts w:ascii="Arial" w:hAnsi="Arial" w:eastAsia="Heiti SC"/>
          <w:color w:val="000000"/>
        </w:rPr>
        <w:t>失败处理</w:t>
      </w:r>
    </w:p>
    <w:p>
      <w:r>
        <w:rPr>
          <w:rFonts w:ascii="Arial" w:hAnsi="Arial" w:eastAsia="Heiti SC"/>
          <w:color w:val="000000"/>
        </w:rPr>
        <w:t>任务保存待处理、运行、完成或失败状态，支持阶段恢复；不同版本绑定各自任务。结构修复与业务改写分别计次，不无限循环审核到随机通过。前台错误应指出阶段与可执行动作；部分提示细化仍待完善。</w:t>
      </w:r>
    </w:p>
    <w:p>
      <w:r>
        <w:rPr>
          <w:rFonts w:ascii="Arial" w:hAnsi="Arial" w:eastAsia="Heiti SC"/>
          <w:color w:val="000000"/>
        </w:rPr>
        <w:t>当前选题Schema要求1–6个候选，与规范允许0个存在差异；资料不足的主动拒写能力仍需补齐，不能为了成稿而凑观点。</w:t>
      </w:r>
    </w:p>
    <w:p>
      <w:r>
        <w:br w:type="page"/>
      </w:r>
    </w:p>
    <w:p>
      <w:pPr>
        <w:pStyle w:val="Heading1"/>
      </w:pPr>
      <w:r>
        <w:rPr>
          <w:rFonts w:ascii="Arial" w:hAnsi="Arial" w:eastAsia="Heiti SC"/>
          <w:color w:val="000000"/>
        </w:rPr>
        <w:t>05 端到端评估与业务验收</w:t>
      </w:r>
    </w:p>
    <w:p>
      <w:pPr>
        <w:pStyle w:val="Heading2"/>
      </w:pPr>
      <w:r>
        <w:rPr>
          <w:rFonts w:ascii="Arial" w:hAnsi="Arial" w:eastAsia="Heiti SC"/>
          <w:color w:val="000000"/>
        </w:rPr>
        <w:t>以采用稿为最终结果</w:t>
      </w:r>
    </w:p>
    <w:p>
      <w:r>
        <w:rPr>
          <w:rFonts w:ascii="Arial" w:hAnsi="Arial" w:eastAsia="Heiti SC"/>
          <w:color w:val="000000"/>
        </w:rPr>
        <w:t>工程完成、AI审核通过和编辑采用分别记录。拟定人工采用线：事实底线通过，“回答读者问题、具体细节、表达结构”三项各按0–3分标注，均至少2分，且编辑确认采用。该标准需试标校准，尚非已取得的成绩。</w:t>
      </w:r>
    </w:p>
    <w:p>
      <w:r>
        <w:rPr>
          <w:rFonts w:ascii="Arial" w:hAnsi="Arial" w:eastAsia="Heiti SC"/>
          <w:color w:val="000000"/>
        </w:rPr>
        <w:t>事实底线单独判定：不捏造测试、经历、数字或来源；重要断言有材料支持，无法核验则缩小范围。文风高分不能抵消事实错误。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707"/>
        <w:gridCol w:w="3571"/>
        <w:gridCol w:w="3744"/>
      </w:tblGrid>
      <w:tr>
        <w:trPr>
          <w:cantSplit/>
          <w:tblHeader/>
        </w:trPr>
        <w:tc>
          <w:tcPr>
            <w:tcW w:type="dxa" w:w="270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FF5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Heiti SC"/>
                <w:b/>
                <w:color w:val="000000"/>
                <w:sz w:val="20"/>
              </w:rPr>
              <w:t>指标</w:t>
            </w:r>
          </w:p>
        </w:tc>
        <w:tc>
          <w:tcPr>
            <w:tcW w:type="dxa" w:w="357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FF5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Heiti SC"/>
                <w:b/>
                <w:color w:val="000000"/>
                <w:sz w:val="20"/>
              </w:rPr>
              <w:t>计算口径</w:t>
            </w:r>
          </w:p>
        </w:tc>
        <w:tc>
          <w:tcPr>
            <w:tcW w:type="dxa" w:w="374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FF5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Heiti SC"/>
                <w:b/>
                <w:color w:val="000000"/>
                <w:sz w:val="20"/>
              </w:rPr>
              <w:t>解释边界</w:t>
            </w:r>
          </w:p>
        </w:tc>
      </w:tr>
      <w:tr>
        <w:trPr>
          <w:cantSplit/>
        </w:trPr>
        <w:tc>
          <w:tcPr>
            <w:tcW w:type="dxa" w:w="270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首次链路成功率</w:t>
            </w:r>
          </w:p>
        </w:tc>
        <w:tc>
          <w:tcPr>
            <w:tcW w:type="dxa" w:w="357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首轮即得到合格最终稿的任务数 ÷ 有效启动任务数</w:t>
            </w:r>
          </w:p>
        </w:tc>
        <w:tc>
          <w:tcPr>
            <w:tcW w:type="dxa" w:w="374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含失败、拒绝与超时；取消和无效输入另列</w:t>
            </w:r>
          </w:p>
        </w:tc>
      </w:tr>
      <w:tr>
        <w:trPr>
          <w:cantSplit/>
        </w:trPr>
        <w:tc>
          <w:tcPr>
            <w:tcW w:type="dxa" w:w="270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预算内成功与采用</w:t>
            </w:r>
          </w:p>
        </w:tc>
        <w:tc>
          <w:tcPr>
            <w:tcW w:type="dxa" w:w="357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规定尝试内成功任务数、采用任务数，分别 ÷ 同批启动任务数</w:t>
            </w:r>
          </w:p>
        </w:tc>
        <w:tc>
          <w:tcPr>
            <w:tcW w:type="dxa" w:w="374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单任务多版本不重复加分母；同时报告尝试预算</w:t>
            </w:r>
          </w:p>
        </w:tc>
      </w:tr>
      <w:tr>
        <w:trPr>
          <w:cantSplit/>
        </w:trPr>
        <w:tc>
          <w:tcPr>
            <w:tcW w:type="dxa" w:w="270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主张支持率</w:t>
            </w:r>
          </w:p>
        </w:tc>
        <w:tc>
          <w:tcPr>
            <w:tcW w:type="dxa" w:w="357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材料支持的可核验主张数 ÷ 人工审查的可核验主张总数</w:t>
            </w:r>
          </w:p>
        </w:tc>
        <w:tc>
          <w:tcPr>
            <w:tcW w:type="dxa" w:w="374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矛盾和无法核验分别列出；不是外部事实正确率</w:t>
            </w:r>
          </w:p>
        </w:tc>
      </w:tr>
      <w:tr>
        <w:trPr>
          <w:cantSplit/>
        </w:trPr>
        <w:tc>
          <w:tcPr>
            <w:tcW w:type="dxa" w:w="270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审核漏检与误拦截</w:t>
            </w:r>
          </w:p>
        </w:tc>
        <w:tc>
          <w:tcPr>
            <w:tcW w:type="dxa" w:w="357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有问题却放行 ÷ 人工判有问题；可用却拒绝 ÷ 人工判可用</w:t>
            </w:r>
          </w:p>
        </w:tc>
        <w:tc>
          <w:tcPr>
            <w:tcW w:type="dxa" w:w="374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正常、真实错误和人工挑战稿分开；不用模型自审当答案</w:t>
            </w:r>
          </w:p>
        </w:tc>
      </w:tr>
      <w:tr>
        <w:trPr>
          <w:cantSplit/>
        </w:trPr>
        <w:tc>
          <w:tcPr>
            <w:tcW w:type="dxa" w:w="270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单篇采用成本</w:t>
            </w:r>
          </w:p>
        </w:tc>
        <w:tc>
          <w:tcPr>
            <w:tcW w:type="dxa" w:w="357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本批全部生产投入 ÷ 被采用的独立文章数</w:t>
            </w:r>
          </w:p>
        </w:tc>
        <w:tc>
          <w:tcPr>
            <w:tcW w:type="dxa" w:w="374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含失败、重试、实测、审核与编辑；开发维护成本单列</w:t>
            </w:r>
          </w:p>
        </w:tc>
      </w:tr>
      <w:tr>
        <w:trPr>
          <w:cantSplit/>
        </w:trPr>
        <w:tc>
          <w:tcPr>
            <w:tcW w:type="dxa" w:w="270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人工负担与供给</w:t>
            </w:r>
          </w:p>
        </w:tc>
        <w:tc>
          <w:tcPr>
            <w:tcW w:type="dxa" w:w="3571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每任务编辑复核分钟、固定周期采用篇数</w:t>
            </w:r>
          </w:p>
        </w:tc>
        <w:tc>
          <w:tcPr>
            <w:tcW w:type="dxa" w:w="374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等模型与人工操作分开；保存版本不重复算新内容</w:t>
            </w:r>
          </w:p>
        </w:tc>
      </w:tr>
    </w:tbl>
    <w:p>
      <w:pPr>
        <w:spacing w:after="20" w:before="0" w:line="60" w:lineRule="exact"/>
      </w:pPr>
      <w:r>
        <w:rPr>
          <w:rFonts w:ascii="Arial" w:hAnsi="Arial" w:eastAsia="Heiti SC"/>
          <w:color w:val="000000"/>
          <w:sz w:val="6"/>
        </w:rPr>
      </w:r>
    </w:p>
    <w:p>
      <w:r>
        <w:rPr>
          <w:rFonts w:ascii="Arial" w:hAnsi="Arial" w:eastAsia="Heiti SC"/>
          <w:color w:val="000000"/>
        </w:rPr>
        <w:t>分母为0记不适用。费用未知记未知，不填0；成本按实际调用与当时价格计算。confidence是异常参考，不是校准后的正确概率。小样本报告计数、中位数和范围，不包装成稳定P95或总体幻觉率。</w:t>
      </w:r>
    </w:p>
    <w:p>
      <w:pPr>
        <w:pStyle w:val="Heading2"/>
      </w:pPr>
      <w:r>
        <w:rPr>
          <w:rFonts w:ascii="Arial" w:hAnsi="Arial" w:eastAsia="Heiti SC"/>
          <w:color w:val="000000"/>
        </w:rPr>
        <w:t>第一轮评测安排</w:t>
      </w:r>
    </w:p>
    <w:p>
      <w:r>
        <w:rPr>
          <w:rFonts w:ascii="Arial" w:hAnsi="Arial" w:eastAsia="Heiti SC"/>
          <w:color w:val="000000"/>
        </w:rPr>
        <w:t>先整理约12个独立真实任务，实际不足则报告实数；按同源项目分组，划分调试、人工校准和留出。Prompt只在调试材料上修改，留出看过后不再当未见测试。</w:t>
      </w:r>
    </w:p>
    <w:p>
      <w:r>
        <w:rPr>
          <w:rFonts w:ascii="Arial" w:hAnsi="Arial" w:eastAsia="Heiti SC"/>
          <w:color w:val="000000"/>
        </w:rPr>
        <w:t>真实任务、人工造错挑战和软件夹具分别统计。对比人工旧流程与工作台时保持任务、篇幅和质量线相近；模型比较固定输入与审核配置，工作流比较固定证据并只改变一个因素。</w:t>
      </w:r>
    </w:p>
    <w:p>
      <w:r>
        <w:rPr>
          <w:rFonts w:ascii="Arial" w:hAnsi="Arial" w:eastAsia="Heiti SC"/>
          <w:color w:val="000000"/>
        </w:rPr>
        <w:t>标注时隐藏模型身份，保留原句、证据位置和理由。有第二位标注者才报告多人一致性；现有业务纠偏不直接充当独立标准答案。每次运行记录版本、模型、Prompt、输入签名、全部尝试、费用和采用结果。以上统一实验尚待执行。</w:t>
      </w:r>
    </w:p>
    <w:p>
      <w:r>
        <w:br w:type="page"/>
      </w:r>
    </w:p>
    <w:p>
      <w:pPr>
        <w:pStyle w:val="Heading1"/>
      </w:pPr>
      <w:r>
        <w:rPr>
          <w:rFonts w:ascii="Arial" w:hAnsi="Arial" w:eastAsia="Heiti SC"/>
          <w:color w:val="000000"/>
        </w:rPr>
        <w:t>06 真实案例与迭代结果</w:t>
      </w:r>
    </w:p>
    <w:p>
      <w:pPr>
        <w:pStyle w:val="Heading2"/>
      </w:pPr>
      <w:r>
        <w:rPr>
          <w:rFonts w:ascii="Arial" w:hAnsi="Arial" w:eastAsia="Heiti SC"/>
          <w:color w:val="000000"/>
        </w:rPr>
        <w:t>重新生成为什么连续失败</w:t>
      </w:r>
    </w:p>
    <w:p>
      <w:r>
        <w:rPr>
          <w:rFonts w:ascii="Arial" w:hAnsi="Arial" w:eastAsia="Heiti SC"/>
          <w:color w:val="000000"/>
        </w:rPr>
        <w:t>用户在即梦与腾讯元宝项目重新生成文章时，分别遇到“读取写作材料结构校验失败”和“最终保真检查未通过”。泛化提示没有说明具体问题，重复重试也难以定位原因。</w:t>
      </w:r>
    </w:p>
    <w:p>
      <w:pPr>
        <w:keepLines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880360" cy="1471752"/>
            <wp:docPr id="1" name="Picture 1" descr="即梦原始失败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jimeng-screenshot-schema-fail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147175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2880360" cy="1519991"/>
            <wp:docPr id="2" name="Picture 2" descr="腾讯元宝原始失败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uanbao-final-review-fail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1519991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p>
      <w:r>
        <w:rPr>
          <w:rFonts w:ascii="Arial" w:hAnsi="Arial" w:eastAsia="Heiti SC"/>
          <w:color w:val="000000"/>
        </w:rPr>
        <w:t>以上为用户提供的两张原始截图。截图证明界面现象，具体归因结合任务记录和模型返回。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4"/>
        <w:gridCol w:w="6638"/>
      </w:tblGrid>
      <w:tr>
        <w:trPr>
          <w:cantSplit/>
          <w:tblHeader/>
        </w:trPr>
        <w:tc>
          <w:tcPr>
            <w:tcW w:type="dxa" w:w="338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FF5"/>
          </w:tcPr>
          <w:p>
            <w:pPr>
              <w:spacing w:after="0" w:line="269" w:lineRule="auto"/>
              <w:jc w:val="center"/>
            </w:pPr>
            <w:r>
              <w:rPr>
                <w:rFonts w:ascii="Arial" w:hAnsi="Arial" w:eastAsia="Heiti SC"/>
                <w:b/>
                <w:color w:val="000000"/>
                <w:sz w:val="20"/>
              </w:rPr>
              <w:t>定位结果</w:t>
            </w:r>
          </w:p>
        </w:tc>
        <w:tc>
          <w:tcPr>
            <w:tcW w:type="dxa" w:w="663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E8EFF5"/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/>
                <w:color w:val="000000"/>
                <w:sz w:val="20"/>
              </w:rPr>
              <w:t>产品处理与验证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截图输出结构不符合约定</w:t>
            </w:r>
          </w:p>
        </w:tc>
        <w:tc>
          <w:tcPr>
            <w:tcW w:type="dxa" w:w="663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明确根结构与JSON规则，修复时保留图片与标签顺序；使用原四图验证通过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旧后台任务误关联新版本</w:t>
            </w:r>
          </w:p>
        </w:tc>
        <w:tc>
          <w:tcPr>
            <w:tcW w:type="dxa" w:w="663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固定任务目标和lease，隔离版本；旧成稿保持不变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审核误引用Brief或混淆两层问题类型</w:t>
            </w:r>
          </w:p>
        </w:tc>
        <w:tc>
          <w:tcPr>
            <w:tcW w:type="dxa" w:w="663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限定当前稿件原句，区分嵌套字符串列表与根层问题对象；文本审稿回归通过</w:t>
            </w:r>
          </w:p>
        </w:tc>
      </w:tr>
      <w:tr>
        <w:trPr>
          <w:cantSplit/>
        </w:trPr>
        <w:tc>
          <w:tcPr>
            <w:tcW w:type="dxa" w:w="3384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规则过宽或修订后才发现套话</w:t>
            </w:r>
          </w:p>
        </w:tc>
        <w:tc>
          <w:tcPr>
            <w:tcW w:type="dxa" w:w="6638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spacing w:after="0" w:line="269" w:lineRule="auto"/>
            </w:pPr>
            <w:r>
              <w:rPr>
                <w:rFonts w:ascii="Arial" w:hAnsi="Arial" w:eastAsia="Heiti SC"/>
                <w:b w:val="0"/>
                <w:color w:val="000000"/>
                <w:sz w:val="20"/>
              </w:rPr>
              <w:t>收窄不当断言规则，修订后立即执行同一门禁；既测真实错误，也保留误拦截案例</w:t>
            </w:r>
          </w:p>
        </w:tc>
      </w:tr>
    </w:tbl>
    <w:p>
      <w:pPr>
        <w:spacing w:after="20" w:before="0" w:line="60" w:lineRule="exact"/>
      </w:pPr>
      <w:r>
        <w:rPr>
          <w:rFonts w:ascii="Arial" w:hAnsi="Arial" w:eastAsia="Heiti SC"/>
          <w:color w:val="000000"/>
          <w:sz w:val="6"/>
        </w:rPr>
      </w:r>
    </w:p>
    <w:p>
      <w:pPr>
        <w:pStyle w:val="Heading2"/>
      </w:pPr>
      <w:r>
        <w:rPr>
          <w:rFonts w:ascii="Arial" w:hAnsi="Arial" w:eastAsia="Heiti SC"/>
          <w:color w:val="000000"/>
        </w:rPr>
        <w:t>当前成果与边界</w:t>
      </w:r>
    </w:p>
    <w:p>
      <w:r>
        <w:rPr>
          <w:rFonts w:ascii="Arial" w:hAnsi="Arial" w:eastAsia="Heiti SC"/>
          <w:color w:val="000000"/>
        </w:rPr>
        <w:t>腾讯元宝v7、懂你AI v9、即梦AI v11已使用真实材料完成新稿验证；即梦先读四图，再文本写作与审稿，关联三张真实证据图。另有一次供应商图片解析HTTP400，新版本重试后通过，但上游根因仍未确定。</w:t>
      </w:r>
    </w:p>
    <w:p>
      <w:r>
        <w:rPr>
          <w:rFonts w:ascii="Arial" w:hAnsi="Arial" w:eastAsia="Heiti SC"/>
          <w:color w:val="000000"/>
        </w:rPr>
        <w:t>工程回归、类型检查和构建已通过。完整流程E2E使用真实数据库与存储、模拟模型；上述三项目稿件使用真实模型。现有验证支持流程可运行，模型准确性、自然表达与业务降本仍需固定样本评估。</w:t>
      </w:r>
    </w:p>
    <w:p>
      <w:r>
        <w:rPr>
          <w:rFonts w:ascii="Arial" w:hAnsi="Arial" w:eastAsia="Heiti SC"/>
          <w:color w:val="000000"/>
        </w:rPr>
        <w:t>历史失败已从日常工作台清理，截图及原始备份保留在案例档案中，后续评测仍计入失败与重试成本。</w:t>
      </w:r>
    </w:p>
    <w:p>
      <w:r>
        <w:rPr>
          <w:rFonts w:ascii="Arial" w:hAnsi="Arial" w:eastAsia="Heiti SC"/>
          <w:color w:val="000000"/>
        </w:rPr>
        <w:t>下一步优先补人工稿费用与工时、冻结任务集、独立评测写作和审核，再判断模型替换及流程简化。详细证据见</w:t>
      </w:r>
      <w:hyperlink r:id="rId13">
        <w:r>
          <w:rPr>
            <w:color w:val="145A86"/>
            <w:rFonts w:ascii="Arial" w:hAnsi="Arial" w:eastAsia="Heiti SC"/>
          </w:rPr>
          <w:t>Bad Case复盘</w:t>
        </w:r>
      </w:hyperlink>
      <w:r>
        <w:rPr>
          <w:rFonts w:ascii="Arial" w:hAnsi="Arial" w:eastAsia="Heiti SC"/>
          <w:color w:val="000000"/>
        </w:rPr>
        <w:t>，评估口径见</w:t>
      </w:r>
      <w:hyperlink r:id="rId14">
        <w:r>
          <w:rPr>
            <w:color w:val="145A86"/>
            <w:rFonts w:ascii="Arial" w:hAnsi="Arial" w:eastAsia="Heiti SC"/>
          </w:rPr>
          <w:t>模型评估方案</w:t>
        </w:r>
      </w:hyperlink>
      <w:r>
        <w:rPr>
          <w:rFonts w:ascii="Arial" w:hAnsi="Arial" w:eastAsia="Heiti SC"/>
          <w:color w:val="000000"/>
        </w:rPr>
        <w:t>。</w:t>
      </w:r>
    </w:p>
    <w:sectPr w:rsidR="00FC693F" w:rsidRPr="0006063C" w:rsidSect="00034616">
      <w:footerReference w:type="default" r:id="rId9"/>
      <w:pgSz w:w="11905" w:h="16838"/>
      <w:pgMar w:top="878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Heiti SC"/>
        <w:color w:val="000000"/>
        <w:sz w:val="16"/>
      </w:rPr>
      <w:t xml:space="preserve">AI Benchmark Studio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 w:eastAsia="Heiti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283" w:lineRule="auto"/>
      <w:outlineLvl w:val="0"/>
    </w:pPr>
    <w:rPr>
      <w:rFonts w:asciiTheme="majorHAnsi" w:eastAsiaTheme="majorEastAsia" w:hAnsiTheme="majorHAnsi" w:cstheme="majorBidi" w:ascii="Arial" w:hAnsi="Arial" w:eastAsia="Heiti S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83" w:lineRule="auto"/>
      <w:outlineLvl w:val="1"/>
    </w:pPr>
    <w:rPr>
      <w:rFonts w:asciiTheme="majorHAnsi" w:eastAsiaTheme="majorEastAsia" w:hAnsiTheme="majorHAnsi" w:cstheme="majorBidi" w:ascii="Arial" w:hAnsi="Arial" w:eastAsia="Heiti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83" w:lineRule="auto"/>
      <w:contextualSpacing/>
    </w:pPr>
    <w:rPr>
      <w:rFonts w:asciiTheme="majorHAnsi" w:eastAsiaTheme="majorEastAsia" w:hAnsiTheme="majorHAnsi" w:cstheme="majorBidi" w:ascii="Arial" w:hAnsi="Arial" w:eastAsia="Heiti SC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ai-benchmark-studio-sand.vercel.app/projects" TargetMode="Externa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yperlink" Target="&#29983;&#25104;&#22833;&#36133;BadCase&#22797;&#30424;.md" TargetMode="External"/><Relationship Id="rId14" Type="http://schemas.openxmlformats.org/officeDocument/2006/relationships/hyperlink" Target="&#27169;&#22411;&#36873;&#22411;&#19982;&#25928;&#26524;&#35780;&#20272;&#26041;&#26696;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AI测评内容生产工作台 AI产品经理作品集</dc:title>
  <dc:subject>需求分析 模型策略 工作流 输入输出 节点与端到端评测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