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33.png" ContentType="image/png"/>
  <Override PartName="/word/media/rId29.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A reference manuscript template for LaTeX to Word conversion</w:t>
      </w:r>
    </w:p>
    <w:p>
      <w:pPr>
        <w:pStyle w:val="Author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Second Author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Third Author</w:t>
      </w:r>
      <w:r>
        <w:rPr>
          <w:vertAlign w:val="superscript"/>
        </w:rPr>
        <w:t xml:space="preserve">2,*</w:t>
      </w:r>
      <w:r>
        <w:br/>
      </w:r>
      <w:r>
        <w:t xml:space="preserve"> </w:t>
      </w:r>
      <w:r>
        <w:rPr>
          <w:vertAlign w:val="superscript"/>
        </w:rPr>
        <w:t xml:space="preserve">1</w:t>
      </w:r>
      <w:r>
        <w:t xml:space="preserve">Department of Example Engineering,</w:t>
      </w:r>
      <w:r>
        <w:t xml:space="preserve"> </w:t>
      </w:r>
      <w:r>
        <w:t xml:space="preserve">Example University, City, ST 00000, USA</w:t>
      </w:r>
      <w:r>
        <w:t xml:space="preserve"> </w:t>
      </w:r>
      <w:r>
        <w:br/>
      </w:r>
      <w:r>
        <w:t xml:space="preserve"> </w:t>
      </w:r>
      <w:r>
        <w:rPr>
          <w:vertAlign w:val="superscript"/>
        </w:rPr>
        <w:t xml:space="preserve">2</w:t>
      </w:r>
      <w:r>
        <w:t xml:space="preserve">Institute of Placeholder Studies,</w:t>
      </w:r>
      <w:r>
        <w:t xml:space="preserve"> </w:t>
      </w:r>
      <w:r>
        <w:t xml:space="preserve">Second University, City, ST 11111, USA</w:t>
      </w:r>
      <w:r>
        <w:t xml:space="preserve"> </w:t>
      </w:r>
      <w:r>
        <w:br/>
      </w:r>
      <w:r>
        <w:t xml:space="preserve"> </w:t>
      </w:r>
      <w:r>
        <w:rPr>
          <w:vertAlign w:val="superscript"/>
        </w:rPr>
        <w:t xml:space="preserve">*</w:t>
      </w:r>
      <w:r>
        <w:t xml:space="preserve">Corresponding author:</w:t>
      </w:r>
      <w:r>
        <w:t xml:space="preserve"> </w:t>
      </w:r>
      <w:r>
        <w:rPr>
          <w:rStyle w:val="VerbatimChar"/>
        </w:rPr>
        <w:t xml:space="preserve">corresponding@example.edu</w:t>
      </w:r>
      <w:r>
        <w:t xml:space="preserve"> 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template is placeholder prose. Its purpose is to exercise every LaTeX</w:t>
      </w:r>
      <w:r>
        <w:t xml:space="preserve"> </w:t>
      </w:r>
      <w:r>
        <w:t xml:space="preserve">construct the converter handles, so that a successful build proves the</w:t>
      </w:r>
      <w:r>
        <w:t xml:space="preserve"> </w:t>
      </w:r>
      <w:r>
        <w:t xml:space="preserve">conversion path end to end rather than proving that one particular manuscript</w:t>
      </w:r>
      <w:r>
        <w:t xml:space="preserve"> </w:t>
      </w:r>
      <w:r>
        <w:t xml:space="preserve">happens to work. It contains numbered and unnumbered equations, cross-references</w:t>
      </w:r>
      <w:r>
        <w:t xml:space="preserve"> </w:t>
      </w:r>
      <w:r>
        <w:t xml:space="preserve">of every cleveref flavour, citations in both parenthetical and textual form,</w:t>
      </w:r>
      <w:r>
        <w:t xml:space="preserve"> </w:t>
      </w:r>
      <w:r>
        <w:t xml:space="preserve">figures with sub-captions, a booktabs table with siunitx alignment, nested</w:t>
      </w:r>
      <w:r>
        <w:t xml:space="preserve"> </w:t>
      </w:r>
      <w:r>
        <w:t xml:space="preserve">lists with custom labels, chemical formulae, and quantities with units and</w:t>
      </w:r>
      <w:r>
        <w:t xml:space="preserve"> </w:t>
      </w:r>
      <w:r>
        <w:t xml:space="preserve">uncertainties. Replace the text with your own; keep the structure.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placeholder; template; document conversion;</w:t>
      </w:r>
      <w:r>
        <w:t xml:space="preserve"> </w:t>
      </w:r>
      <w:r>
        <w:t xml:space="preserve">regression fixture; reproducible builds</w:t>
      </w:r>
    </w:p>
    <w:p>
      <w:pPr>
        <w:pStyle w:val="Heading1"/>
      </w:pPr>
      <w:bookmarkStart w:id="11" w:name="sec_intro"/>
      <w:r>
        <w:t xml:space="preserve"> </w:t>
      </w:r>
      <w:r>
        <w:t xml:space="preserve">Introduction</w:t>
      </w:r>
      <w:bookmarkEnd w:id="11"/>
    </w:p>
    <w:p>
      <w:pPr>
        <w:pStyle w:val="FirstParagraph"/>
      </w:pPr>
      <w:r>
        <w:t xml:space="preserve">This paragraph shows ordinary body text with a parenthetical citation</w:t>
      </w:r>
      <w:r>
        <w:t xml:space="preserve"> </w:t>
      </w:r>
      <w:r>
        <w:t xml:space="preserve">[</w:t>
      </w:r>
      <w:hyperlink w:anchor="bibref_1">
        <w:r>
          <w:rPr>
            <w:rStyle w:val="Hyperlink"/>
            <w:color w:val="000000"/>
          </w:rPr>
          <w:t xml:space="preserve">1</w:t>
        </w:r>
      </w:hyperlink>
      <w:r>
        <w:t xml:space="preserve">]</w:t>
      </w:r>
      <w:r>
        <w:t xml:space="preserve"> and a textual one: </w:t>
      </w:r>
      <w:hyperlink w:anchor="bibref_2">
        <w:r>
          <w:rPr>
            <w:rStyle w:val="Hyperlink"/>
            <w:color w:val="000000"/>
          </w:rPr>
          <w:t xml:space="preserve">Roe et al. </w:t>
        </w:r>
        <w:r>
          <w:rPr>
            <w:rStyle w:val="Hyperlink"/>
            <w:color w:val="000000"/>
          </w:rPr>
          <w:t xml:space="preserve">[</w:t>
        </w:r>
        <w:r>
          <w:rPr>
            <w:rStyle w:val="Hyperlink"/>
            <w:color w:val="000000"/>
          </w:rPr>
          <w:t xml:space="preserve">2</w:t>
        </w:r>
        <w:r>
          <w:rPr>
            <w:rStyle w:val="Hyperlink"/>
            <w:color w:val="000000"/>
          </w:rPr>
          <w:t xml:space="preserve">]</w:t>
        </w:r>
      </w:hyperlink>
      <w:r>
        <w:t xml:space="preserve"> reported a</w:t>
      </w:r>
      <w:r>
        <w:t xml:space="preserve"> </w:t>
      </w:r>
      <w:r>
        <w:t xml:space="preserve">similar effect. Multiple keys collapse into a compressed range,</w:t>
      </w:r>
      <w:r>
        <w:t xml:space="preserve"> </w:t>
      </w:r>
      <w:r>
        <w:t xml:space="preserve">[</w:t>
      </w:r>
      <w:hyperlink w:anchor="bibref_1">
        <w:r>
          <w:rPr>
            <w:rStyle w:val="Hyperlink"/>
            <w:color w:val="000000"/>
          </w:rPr>
          <w:t xml:space="preserve">1–4</w:t>
        </w:r>
      </w:hyperlink>
      <w:r>
        <w:t xml:space="preserve">]</w:t>
      </w:r>
      <w:r>
        <w:t xml:space="preserve">, because</w:t>
      </w:r>
      <w:r>
        <w:t xml:space="preserve"> </w:t>
      </w:r>
      <w:r>
        <w:t xml:space="preserve">natbib is loaded with</w:t>
      </w:r>
      <w:r>
        <w:t xml:space="preserve"> </w:t>
      </w:r>
      <w:r>
        <w:rPr>
          <w:rStyle w:val="VerbatimChar"/>
        </w:rPr>
        <w:t xml:space="preserve">sort&amp;compress</w:t>
      </w:r>
      <w:r>
        <w:t xml:space="preserve">. A citation with more than two</w:t>
      </w:r>
      <w:r>
        <w:t xml:space="preserve"> </w:t>
      </w:r>
      <w:r>
        <w:t xml:space="preserve">authors abbreviates to "et al." in the text but lists everyone in the</w:t>
      </w:r>
      <w:r>
        <w:t xml:space="preserve"> </w:t>
      </w:r>
      <w:r>
        <w:t xml:space="preserve">bibliography.</w:t>
      </w:r>
    </w:p>
    <w:p>
      <w:pPr>
        <w:pStyle w:val="BodyText"/>
      </w:pPr>
      <w:r>
        <w:t xml:space="preserve">Cross-references come in several forms and each must survive as a live Word</w:t>
      </w:r>
      <w:r>
        <w:t xml:space="preserve"> </w:t>
      </w:r>
      <w:r>
        <w:t xml:space="preserve">field:</w:t>
      </w:r>
      <w:r>
        <w:t xml:space="preserve"> </w:t>
      </w:r>
      <w:r>
        <w:rPr>
          <w:rStyle w:val="Hyperlink"/>
        </w:rPr>
        <w:t xml:space="preserve">Section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sec_theory \r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r>
        <w:t xml:space="preserve"> </w:t>
      </w:r>
      <w:r>
        <w:t xml:space="preserve">capitalises the type name,</w:t>
      </w:r>
      <w:r>
        <w:t xml:space="preserve"> </w:t>
      </w:r>
      <w:hyperlink w:anchor="sec_results">
        <w:r>
          <w:rPr>
            <w:rStyle w:val="Hyperlink"/>
          </w:rPr>
          <w:t xml:space="preserve">section 3</w:t>
        </w:r>
      </w:hyperlink>
      <w:r>
        <w:t xml:space="preserve"> </w:t>
      </w:r>
      <w:r>
        <w:t xml:space="preserve">does</w:t>
      </w:r>
      <w:r>
        <w:t xml:space="preserve"> </w:t>
      </w:r>
      <w:r>
        <w:t xml:space="preserve">not, and (1) prints the bare number. Equations are</w:t>
      </w:r>
      <w:r>
        <w:t xml:space="preserve"> </w:t>
      </w:r>
      <w:r>
        <w:t xml:space="preserve">referenced as</w:t>
      </w:r>
      <w:r>
        <w:t xml:space="preserve"> </w:t>
      </w:r>
      <w:r>
        <w:rPr>
          <w:rStyle w:val="Hyperlink"/>
        </w:rPr>
        <w:t xml:space="preserve">Eq.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eq_governing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(1)</w:t>
      </w:r>
      <w:r>
        <w:rPr>
          <w:rStyle w:val="Hyperlink"/>
        </w:rPr>
        <w:fldChar w:fldCharType="end"/>
      </w:r>
      <w:r>
        <w:t xml:space="preserve">, figures as</w:t>
      </w:r>
      <w:r>
        <w:t xml:space="preserve"> </w:t>
      </w:r>
      <w:r>
        <w:rPr>
          <w:rStyle w:val="Hyperlink"/>
        </w:rPr>
        <w:t xml:space="preserve">Figure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fig_panels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1</w:t>
      </w:r>
      <w:r>
        <w:rPr>
          <w:rStyle w:val="Hyperlink"/>
        </w:rPr>
        <w:fldChar w:fldCharType="end"/>
      </w:r>
      <w:r>
        <w:t xml:space="preserve">, and tables as</w:t>
      </w:r>
      <w:r>
        <w:t xml:space="preserve"> </w:t>
      </w:r>
      <w:r>
        <w:rPr>
          <w:rStyle w:val="Hyperlink"/>
        </w:rPr>
        <w:t xml:space="preserve">Table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tab_summary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1</w:t>
      </w:r>
      <w:r>
        <w:rPr>
          <w:rStyle w:val="Hyperlink"/>
        </w:rPr>
        <w:fldChar w:fldCharType="end"/>
      </w:r>
      <w:r>
        <w:t xml:space="preserve">.</w:t>
      </w:r>
    </w:p>
    <w:p>
      <w:pPr>
        <w:pStyle w:val="Heading2"/>
      </w:pPr>
      <w:bookmarkStart w:id="10" w:name="sec_intro_scope"/>
      <w:r>
        <w:t xml:space="preserve"> </w:t>
      </w:r>
      <w:r>
        <w:t xml:space="preserve">Scope</w:t>
      </w:r>
      <w:bookmarkEnd w:id="10"/>
    </w:p>
    <w:p>
      <w:pPr>
        <w:pStyle w:val="FirstParagraph"/>
      </w:pPr>
      <w:r>
        <w:t xml:space="preserve">Sub-sections must be numbered and left aligned. This one exists only to prove</w:t>
      </w:r>
      <w:r>
        <w:t xml:space="preserve"> </w:t>
      </w:r>
      <w:r>
        <w:t xml:space="preserve">that the heading hierarchy survives, including a third level.</w:t>
      </w:r>
    </w:p>
    <w:p>
      <w:pPr>
        <w:pStyle w:val="Heading3"/>
      </w:pPr>
      <w:bookmarkStart w:id="9" w:name="sec_intro_scope_third"/>
      <w:r>
        <w:t xml:space="preserve"> </w:t>
      </w:r>
      <w:r>
        <w:t xml:space="preserve">A third-level heading</w:t>
      </w:r>
      <w:bookmarkEnd w:id="9"/>
    </w:p>
    <w:p>
      <w:pPr>
        <w:pStyle w:val="FirstParagraph"/>
      </w:pPr>
      <w:r>
        <w:t xml:space="preserve">Inline mathematics such as</w:t>
      </w:r>
      <w:r>
        <w:t xml:space="preserve"> </w:t>
      </w:r>
      <m:oMath>
        <m:r>
          <m:t>η</m:t>
        </m:r>
        <m:r>
          <m:t>​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</m:sub>
        </m:sSub>
        <m:r>
          <m:t>​</m:t>
        </m:r>
        <m:r>
          <m:rPr>
            <m:sty m:val="p"/>
          </m:rPr>
          <m:t>=</m:t>
        </m:r>
        <m:r>
          <m:t>120</m:t>
        </m:r>
        <m:r>
          <m:t> 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t xml:space="preserve"> </w:t>
      </w:r>
      <w:r>
        <w:t xml:space="preserve">sits inside running text. Note the macro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ends with</w:t>
      </w:r>
      <w:r>
        <w:t xml:space="preserve"> </w:t>
      </w:r>
      <w:r>
        <w:t xml:space="preserve">,</w:t>
      </w:r>
      <w:r>
        <w:t xml:space="preserve"> </w:t>
      </w:r>
      <w:r>
        <w:t xml:space="preserve">so the space before "sits" is preserved but no space appears before the comma</w:t>
      </w:r>
      <w:r>
        <w:t xml:space="preserve"> </w:t>
      </w:r>
      <w:r>
        <w:t xml:space="preserve">here:</w:t>
      </w:r>
      <w:r>
        <w:t xml:space="preserve"> </w:t>
      </w:r>
      <m:oMath>
        <m:r>
          <m:t>η</m:t>
        </m:r>
      </m:oMath>
      <w:r>
        <w:t xml:space="preserve">, exactly as in the source.</w:t>
      </w:r>
    </w:p>
    <w:p>
      <w:pPr>
        <w:pStyle w:val="BodyText"/>
      </w:pPr>
      <w:r>
        <w:t xml:space="preserve">Quantities are written with siunitx and must appear as readable text, not as</w:t>
      </w:r>
      <w:r>
        <w:t xml:space="preserve"> </w:t>
      </w:r>
      <w:r>
        <w:t xml:space="preserve">raw markup: the anneal is held at 120 °C, the peak at 150 °C, the applied</w:t>
      </w:r>
      <w:r>
        <w:t xml:space="preserve"> </w:t>
      </w:r>
      <w:r>
        <w:t xml:space="preserve">pressure is 8.27 MPa, the field of view is 5.3 µm×1.0 µm, hold times are</w:t>
      </w:r>
      <w:r>
        <w:t xml:space="preserve"> </w:t>
      </w:r>
      <w:r>
        <w:t xml:space="preserve">0 min, 5 min and 10 min, the sweep spans 300 to 420 K, the population is 57 655</w:t>
      </w:r>
      <w:r>
        <w:t xml:space="preserve"> </w:t>
      </w:r>
      <w:r>
        <w:t xml:space="preserve">individuals, the smallest coefficient is 1.0 × 10⁻¹⁶, and the modulus is</w:t>
      </w:r>
      <w:r>
        <w:t xml:space="preserve"> </w:t>
      </w:r>
      <w:r>
        <w:t xml:space="preserve">9.4 ± 0.6 GPa.</w:t>
      </w:r>
    </w:p>
    <w:p>
      <w:pPr>
        <w:pStyle w:val="BodyText"/>
      </w:pPr>
      <w:r>
        <w:t xml:space="preserve">Chemical formulae go through mhchem and need real subscripts: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, and the mixed composition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0.8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0.15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0.05</m:t>
            </m:r>
          </m:sub>
        </m:sSub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Heading1"/>
      </w:pPr>
      <w:bookmarkStart w:id="20" w:name="sec_theory"/>
      <w:r>
        <w:t xml:space="preserve"> </w:t>
      </w:r>
      <w:r>
        <w:t xml:space="preserve">Theory</w:t>
      </w:r>
      <w:bookmarkEnd w:id="20"/>
    </w:p>
    <w:p>
      <w:pPr>
        <w:pStyle w:val="Heading2"/>
      </w:pPr>
      <w:bookmarkStart w:id="13" w:name="sec_theory_governing"/>
      <w:r>
        <w:t xml:space="preserve"> </w:t>
      </w:r>
      <w:r>
        <w:t xml:space="preserve">Governing equation</w:t>
      </w:r>
      <w:bookmarkEnd w:id="13"/>
    </w:p>
    <w:p>
      <w:pPr>
        <w:pStyle w:val="FirstParagraph"/>
      </w:pPr>
      <w:r>
        <w:t xml:space="preserve">A numbered display equation carries a right-aligned number that must become a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field in Word, so inserting a new equation renumbers the rest:</w:t>
      </w:r>
    </w:p>
    <w:p>
      <w:pPr>
        <w:pStyle w:val="BodyText"/>
        <w:tabs>
          <w:tab w:val="right" w:pos="9360"/>
        </w:tabs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η</m:t>
            </m:r>
            <m:r>
              <m:t>​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f>
          <m:fPr>
            <m:type m:val="bar"/>
          </m:fPr>
          <m:num>
            <m:r>
              <m:t>δ</m:t>
            </m:r>
            <m:r>
              <m:t>F</m:t>
            </m:r>
          </m:num>
          <m:den>
            <m:r>
              <m:t>δ</m:t>
            </m:r>
            <m:r>
              <m:t>η</m:t>
            </m:r>
            <m:r>
              <m:t>​</m:t>
            </m:r>
          </m:den>
        </m:f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κ</m:t>
            </m:r>
            <m:sSup>
              <m:e>
                <m:r>
                  <m:rPr>
                    <m:sty m:val="p"/>
                  </m:rPr>
                  <m:t>∇</m:t>
                </m:r>
              </m:e>
              <m:sup>
                <m:r>
                  <m:t>2</m:t>
                </m:r>
              </m:sup>
            </m:sSup>
            <m:r>
              <m:t>η</m:t>
            </m:r>
            <m:r>
              <m:t>​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η</m:t>
                </m:r>
                <m:r>
                  <m:t>​</m:t>
                </m:r>
              </m:den>
            </m:f>
          </m:e>
        </m:d>
        <m:r>
          <m:rPr>
            <m:sty m:val="p"/>
          </m:rPr>
          <m:t>.</m:t>
        </m:r>
      </m:oMath>
      <w:r>
        <w:tab/>
      </w:r>
      <w:bookmarkStart w:id="54" w:name="eq_governing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)</w:t>
      </w:r>
      <w:bookmarkEnd w:id="54"/>
    </w:p>
    <w:p>
      <w:pPr>
        <w:pStyle w:val="FirstParagraph"/>
      </w:pPr>
      <w:r>
        <w:t xml:space="preserve">An unnumbered equation must stay unnumbered. This is the case</w:t>
      </w:r>
      <w:r>
        <w:t xml:space="preserve"> </w:t>
      </w:r>
      <w:r>
        <w:rPr>
          <w:rStyle w:val="VerbatimChar"/>
        </w:rPr>
        <w:t xml:space="preserve">pandoc-tex-numbering</w:t>
      </w:r>
      <w:r>
        <w:t xml:space="preserve"> </w:t>
      </w:r>
      <w:r>
        <w:t xml:space="preserve">gets wrong on its own: it numbers every display</w:t>
      </w:r>
      <w:r>
        <w:t xml:space="preserve"> </w:t>
      </w:r>
      <w:r>
        <w:t xml:space="preserve">equation, which shifts every later number out of step with the LaTeX original.</w:t>
      </w:r>
    </w:p>
    <w:p>
      <w:pPr>
        <w:pStyle w:val="BodyText"/>
        <w:jc w:val="left"/>
      </w:pPr>
      <m:oMath>
        <m:r>
          <m:t>F</m:t>
        </m:r>
        <m:r>
          <m:rPr>
            <m:sty m:val="p"/>
          </m:rPr>
          <m:t>[</m:t>
        </m:r>
        <m:r>
          <m:t>η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η</m:t>
                </m:r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/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κ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∇</m:t>
                </m:r>
                <m:r>
                  <m:t>η</m:t>
                </m:r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rPr>
            <m:sty m:val="p"/>
          </m:rPr>
          <m:t>d</m:t>
        </m:r>
        <m:r>
          <m:rPr>
            <m:sty m:val="p"/>
          </m:rPr>
          <m:t>Ω</m:t>
        </m:r>
        <m:r>
          <m:rPr>
            <m:sty m:val="p"/>
          </m:rPr>
          <m:t>.</m:t>
        </m:r>
      </m:oMath>
      <w:r>
        <w:tab/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\tfrac</w:t>
      </w:r>
      <w:r>
        <w:t xml:space="preserve"> </w:t>
      </w:r>
      <w:r>
        <w:t xml:space="preserve">above: LaTeX renders it as a stacked fraction one size</w:t>
      </w:r>
      <w:r>
        <w:t xml:space="preserve"> </w:t>
      </w:r>
      <w:r>
        <w:t xml:space="preserve">down, and the converter has to force that, because pandoc maps it to Word’s</w:t>
      </w:r>
      <w:r>
        <w:t xml:space="preserve"> </w:t>
      </w:r>
      <w:r>
        <w:t xml:space="preserve">"linear" fraction type, which prints a slash instead.</w:t>
      </w:r>
    </w:p>
    <w:p>
      <w:pPr>
        <w:pStyle w:val="Heading2"/>
      </w:pPr>
      <w:bookmarkStart w:id="18" w:name="sec_theory_derivation"/>
      <w:r>
        <w:t xml:space="preserve"> </w:t>
      </w:r>
      <w:r>
        <w:t xml:space="preserve">Multi-line derivation</w:t>
      </w:r>
      <w:bookmarkEnd w:id="18"/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block gives every row its own number. Each row is wrapped in</w:t>
      </w:r>
      <w:r>
        <w:t xml:space="preserve"> </w:t>
      </w:r>
      <w:r>
        <w:rPr>
          <w:rStyle w:val="VerbatimChar"/>
        </w:rPr>
        <w:t xml:space="preserve">linenomath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lineno</w:t>
      </w:r>
      <w:r>
        <w:t xml:space="preserve"> </w:t>
      </w:r>
      <w:r>
        <w:t xml:space="preserve">numbers the rows without breaking</w:t>
      </w:r>
      <w:r>
        <w:t xml:space="preserve"> </w:t>
      </w:r>
      <w:r>
        <w:t xml:space="preserve">amsmath’s per-row labels.</w:t>
      </w:r>
    </w:p>
    <w:bookmarkStart w:id="15" w:name="eq_strain"/>
    <w:p>
      <w:pPr>
        <w:pStyle w:val="BodyText"/>
        <w:tabs>
          <w:tab w:val="right" w:pos="9360"/>
        </w:tabs>
      </w:pP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  <m:r>
          <m:rPr>
            <m:aln/>
          </m:rPr>
          <m:t/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l</m:t>
            </m:r>
          </m:sub>
        </m:sSub>
        <m:r>
          <m:t> </m:t>
        </m:r>
        <m:sSub>
          <m:e>
            <m:r>
              <m:t>ε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,</m:t>
        </m:r>
      </m:oMath>
      <w:r>
        <w:tab/>
      </w:r>
      <w:bookmarkStart w:id="55" w:name="eq_hooke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)</w:t>
      </w:r>
      <w:bookmarkEnd w:id="55"/>
    </w:p>
    <w:p>
      <w:pPr>
        <w:pStyle w:val="BodyText"/>
        <w:tabs>
          <w:tab w:val="right" w:pos="9360"/>
        </w:tabs>
      </w:pPr>
      <m:oMath>
        <m:sSub>
          <m:e>
            <m:r>
              <m:t>ε</m:t>
            </m:r>
          </m:e>
          <m:sub>
            <m:r>
              <m:t>k</m:t>
            </m:r>
            <m:r>
              <m:t>l</m:t>
            </m:r>
          </m:sub>
        </m:sSub>
        <m:r>
          <m:rPr>
            <m:aln/>
          </m:rPr>
          <m:t/>
        </m:r>
        <m:r>
          <m:rPr>
            <m:sty m:val="p"/>
          </m:rPr>
          <m:t>=</m:t>
        </m:r>
        <m:f>
          <m:fPr/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l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.</m:t>
        </m:r>
      </m:oMath>
      <w:r>
        <w:tab/>
      </w:r>
      <w:bookmarkStart w:id="56" w:name="_Ref_Eq3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</w:t>
      </w:r>
      <w:bookmarkEnd w:id="56"/>
    </w:p>
    <w:bookmarkEnd w:id="15"/>
    <w:p>
      <w:pPr>
        <w:pStyle w:val="FirstParagraph"/>
      </w:pPr>
      <w:r>
        <w:t xml:space="preserve">Combining</w:t>
      </w:r>
      <w:r>
        <w:t xml:space="preserve"> </w:t>
      </w:r>
      <w:r>
        <w:rPr>
          <w:rStyle w:val="Hyperlink"/>
        </w:rPr>
        <w:t xml:space="preserve">Eq.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eq_hooke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(2)</w:t>
      </w:r>
      <w:r>
        <w:rPr>
          <w:rStyle w:val="Hyperlink"/>
        </w:rPr>
        <w:fldChar w:fldCharType="end"/>
      </w:r>
      <w:r>
        <w:t xml:space="preserve">-</w:t>
      </w:r>
      <w:hyperlink w:anchor="eq_str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integrating over the domain gives a</w:t>
      </w:r>
      <w:r>
        <w:t xml:space="preserve"> </w:t>
      </w:r>
      <w:r>
        <w:t xml:space="preserve">scalar energy. Operators with limits must keep them above and below:</w:t>
      </w:r>
    </w:p>
    <w:p>
      <w:pPr>
        <w:pStyle w:val="BodyText"/>
        <w:tabs>
          <w:tab w:val="right" w:pos="9360"/>
        </w:tabs>
      </w:pP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u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m:t>.</m:t>
        </m:r>
      </m:oMath>
      <w:r>
        <w:tab/>
      </w:r>
      <w:bookmarkStart w:id="57" w:name="eq_energy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</w:t>
      </w:r>
      <w:bookmarkEnd w:id="57"/>
    </w:p>
    <w:bookmarkStart w:id="17" w:name="eq_regimes"/>
    <w:p>
      <w:pPr>
        <w:pStyle w:val="FirstParagraph"/>
      </w:pPr>
      <w:r>
        <w:t xml:space="preserve">Words set inside a formula with</w:t>
      </w:r>
      <w:r>
        <w:t xml:space="preserve"> </w:t>
      </w:r>
      <w:r>
        <w:rPr>
          <w:rStyle w:val="VerbatimChar"/>
        </w:rPr>
        <w:t xml:space="preserve">\text</w:t>
      </w:r>
      <w:r>
        <w:t xml:space="preserve"> </w:t>
      </w:r>
      <w:r>
        <w:t xml:space="preserve">stay upright and keep their</w:t>
      </w:r>
      <w:r>
        <w:t xml:space="preserve"> </w:t>
      </w:r>
      <w:r>
        <w:t xml:space="preserve">spaces, and a variable named inside one is still a variable. Word records the</w:t>
      </w:r>
      <w:r>
        <w:t xml:space="preserve"> </w:t>
      </w:r>
      <w:r>
        <w:t xml:space="preserve">difference: the prose carries</w:t>
      </w:r>
      <w:r>
        <w:t xml:space="preserve"> </w:t>
      </w:r>
      <w:r>
        <w:rPr>
          <w:rStyle w:val="VerbatimChar"/>
        </w:rPr>
        <w:t xml:space="preserve">m:nor</w:t>
      </w:r>
      <w:r>
        <w:t xml:space="preserve"> </w:t>
      </w:r>
      <w:r>
        <w:t xml:space="preserve">where an operator name carries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m:sty</w:t>
      </w:r>
      <w:r>
        <w:t xml:space="preserve">, which is how the converter tells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nor/>
            <m:sty m:val="p"/>
          </m:rPr>
          <m:t>and</m:t>
        </m:r>
      </m:oMath>
      <w:r>
        <w:t xml:space="preserve"> </w:t>
      </w:r>
      <w:r>
        <w:t xml:space="preserve">without a list of function names.</w:t>
      </w:r>
    </w:p>
    <w:p>
      <w:pPr>
        <w:pStyle w:val="BodyText"/>
        <w:tabs>
          <w:tab w:val="right" w:pos="9360"/>
        </w:tabs>
      </w:pPr>
      <m:oMath>
        <m:sSub>
          <m:e>
            <m:r>
              <m:t>η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nor/>
                      <m:sty m:val="p"/>
                    </m:rPr>
                    <m:t>if grain </m:t>
                  </m:r>
                  <m:r>
                    <m:t>k</m:t>
                  </m:r>
                  <m:r>
                    <m:rPr>
                      <m:nor/>
                      <m:sty m:val="p"/>
                    </m:rPr>
                    <m:t> survives to 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nor/>
                      <m:sty m:val="p"/>
                    </m:rPr>
                    <m:t>otherwise.</m:t>
                  </m:r>
                </m:e>
              </m:mr>
            </m:m>
          </m:e>
        </m:d>
      </m:oMath>
      <w:r>
        <w:tab/>
      </w:r>
      <w:bookmarkStart w:id="58" w:name="_Ref_Eq5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</w:t>
      </w:r>
      <w:bookmarkEnd w:id="58"/>
    </w:p>
    <w:bookmarkEnd w:id="17"/>
    <w:p>
      <w:pPr>
        <w:pStyle w:val="Heading2"/>
      </w:pPr>
      <w:bookmarkStart w:id="19" w:name="sec_theory_assumptions"/>
      <w:r>
        <w:t xml:space="preserve"> </w:t>
      </w:r>
      <w:r>
        <w:t xml:space="preserve">Assumptions</w:t>
      </w:r>
      <w:bookmarkEnd w:id="19"/>
    </w:p>
    <w:p>
      <w:pPr>
        <w:pStyle w:val="FirstParagraph"/>
      </w:pPr>
      <w:r>
        <w:t xml:space="preserve">A list with custom labels. pandoc cannot express</w:t>
      </w:r>
      <w:r>
        <w:t xml:space="preserve"> </w:t>
      </w:r>
      <w:r>
        <w:rPr>
          <w:rStyle w:val="VerbatimChar"/>
        </w:rPr>
        <w:t xml:space="preserve">label=(\roman*)</w:t>
      </w:r>
      <w:r>
        <w:t xml:space="preserve"> </w:t>
      </w:r>
      <w:r>
        <w:t xml:space="preserve">on its</w:t>
      </w:r>
      <w:r>
        <w:t xml:space="preserve"> </w:t>
      </w:r>
      <w:r>
        <w:t xml:space="preserve">own, so the converter rewrites it and repairs the numbering definition</w:t>
      </w:r>
      <w:r>
        <w:t xml:space="preserve"> </w:t>
      </w:r>
      <w:r>
        <w:t xml:space="preserve">afterwards. The third item is the interesting one: "(iii)" is wider than the</w:t>
      </w:r>
      <w:r>
        <w:t xml:space="preserve"> </w:t>
      </w:r>
      <w:r>
        <w:t xml:space="preserve">default hanging indent, which used to glue it to the text.</w:t>
      </w:r>
    </w:p>
    <w:p>
      <w:pPr>
        <w:numPr>
          <w:ilvl w:val="0"/>
          <w:numId w:val="1001"/>
        </w:numPr>
      </w:pPr>
      <w:r>
        <w:tab/>
      </w:r>
      <w:r>
        <w:t xml:space="preserve">The medium is isotropic and the coefficients are constant in time;</w:t>
      </w:r>
    </w:p>
    <w:p>
      <w:pPr>
        <w:numPr>
          <w:ilvl w:val="0"/>
          <w:numId w:val="1001"/>
        </w:numPr>
      </w:pPr>
      <w:r>
        <w:tab/>
      </w:r>
      <w:r>
        <w:t xml:space="preserve">Boundaries are traction free except where stated;</w:t>
      </w:r>
    </w:p>
    <w:p>
      <w:pPr>
        <w:numPr>
          <w:ilvl w:val="0"/>
          <w:numId w:val="1001"/>
        </w:numPr>
      </w:pPr>
      <w:r>
        <w:tab/>
      </w:r>
      <w:r>
        <w:t xml:space="preserve">Higher-order gradient terms are neglected, which is exact to leading</w:t>
      </w:r>
      <w:r>
        <w:t xml:space="preserve"> </w:t>
      </w:r>
      <w:r>
        <w:t xml:space="preserve">order in the small parameter and adequate elsewhere.</w:t>
      </w:r>
    </w:p>
    <w:p>
      <w:pPr>
        <w:pStyle w:val="FirstParagraph"/>
      </w:pPr>
      <w:r>
        <w:t xml:space="preserve">An ordinary numbered list, for contrast:</w:t>
      </w:r>
    </w:p>
    <w:p>
      <w:pPr>
        <w:numPr>
          <w:ilvl w:val="0"/>
          <w:numId w:val="1002"/>
        </w:numPr>
      </w:pPr>
      <w:r>
        <w:tab/>
      </w:r>
      <w:r>
        <w:rPr>
          <w:b/>
          <w:bCs/>
        </w:rPr>
        <w:t xml:space="preserve">First point.</w:t>
      </w:r>
      <w:r>
        <w:t xml:space="preserve"> </w:t>
      </w:r>
      <w:r>
        <w:t xml:space="preserve">Bold lead-ins should stay bold.</w:t>
      </w:r>
    </w:p>
    <w:p>
      <w:pPr>
        <w:numPr>
          <w:ilvl w:val="0"/>
          <w:numId w:val="1002"/>
        </w:numPr>
      </w:pPr>
      <w:r>
        <w:tab/>
      </w:r>
      <w:r>
        <w:rPr>
          <w:b/>
          <w:bCs/>
        </w:rPr>
        <w:t xml:space="preserve">Second point.</w:t>
      </w:r>
      <w:r>
        <w:t xml:space="preserve"> </w:t>
      </w:r>
      <w:r>
        <w:t xml:space="preserve">Inline maths such as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Δ</m:t>
        </m:r>
        <m:r>
          <m:t>E</m:t>
        </m:r>
      </m:oMath>
      <w:r>
        <w:t xml:space="preserve"> </w:t>
      </w:r>
      <w:r>
        <w:t xml:space="preserve">should stay on the same line.</w:t>
      </w:r>
    </w:p>
    <w:p>
      <w:pPr>
        <w:numPr>
          <w:ilvl w:val="0"/>
          <w:numId w:val="1002"/>
        </w:numPr>
      </w:pPr>
      <w:r>
        <w:tab/>
      </w:r>
      <w:r>
        <w:rPr>
          <w:b/>
          <w:bCs/>
        </w:rPr>
        <w:t xml:space="preserve">Third point.</w:t>
      </w:r>
      <w:r>
        <w:t xml:space="preserve"> </w:t>
      </w:r>
      <w:r>
        <w:t xml:space="preserve">And nothing should wander off the margin.</w:t>
      </w:r>
    </w:p>
    <w:p>
      <w:pPr>
        <w:pStyle w:val="FirstParagraph"/>
      </w:pPr>
      <w:r>
        <w:t xml:space="preserve">And a bulleted list, which must remain bulleted rather than turning into</w:t>
      </w:r>
      <w:r>
        <w:t xml:space="preserve"> </w:t>
      </w:r>
      <w:r>
        <w:t xml:space="preserve">numbers when the converter merges its own numbering definitions:</w:t>
      </w:r>
    </w:p>
    <w:p>
      <w:pPr>
        <w:numPr>
          <w:ilvl w:val="0"/>
          <w:numId w:val="1003"/>
        </w:numPr>
      </w:pPr>
      <w:r>
        <w:tab/>
      </w:r>
      <w:r>
        <w:t xml:space="preserve">first bullet;</w:t>
      </w:r>
    </w:p>
    <w:p>
      <w:pPr>
        <w:numPr>
          <w:ilvl w:val="0"/>
          <w:numId w:val="1003"/>
        </w:numPr>
      </w:pPr>
      <w:r>
        <w:tab/>
      </w:r>
      <w:r>
        <w:t xml:space="preserve">second bullet;</w:t>
      </w:r>
    </w:p>
    <w:p>
      <w:pPr>
        <w:numPr>
          <w:ilvl w:val="0"/>
          <w:numId w:val="1003"/>
        </w:numPr>
      </w:pPr>
      <w:r>
        <w:tab/>
      </w:r>
      <w:r>
        <w:t xml:space="preserve">third bullet.</w:t>
      </w:r>
    </w:p>
    <w:p>
      <w:pPr>
        <w:pStyle w:val="Heading1"/>
      </w:pPr>
      <w:bookmarkStart w:id="43" w:name="sec_results"/>
      <w:r>
        <w:t xml:space="preserve"> </w:t>
      </w:r>
      <w:r>
        <w:t xml:space="preserve">Results</w:t>
      </w:r>
      <w:bookmarkEnd w:id="43"/>
    </w:p>
    <w:p>
      <w:pPr>
        <w:pStyle w:val="Heading2"/>
      </w:pPr>
      <w:bookmarkStart w:id="37" w:name="sec_results_figures"/>
      <w:r>
        <w:t xml:space="preserve"> </w:t>
      </w:r>
      <w:r>
        <w:t xml:space="preserve">Figures</w:t>
      </w:r>
      <w:bookmarkEnd w:id="37"/>
    </w:p>
    <w:p>
      <w:pPr>
        <w:pStyle w:val="FirstParagraph"/>
      </w:pPr>
      <w:r>
        <w:t xml:space="preserve">A multi-panel figure. In LaTeX the panels sit side by side; the converter puts</w:t>
      </w:r>
      <w:r>
        <w:t xml:space="preserve"> </w:t>
      </w:r>
      <w:r>
        <w:t xml:space="preserve">one image per line with its sub-caption underneath, because Word gives a</w:t>
      </w:r>
      <w:r>
        <w:t xml:space="preserve"> </w:t>
      </w:r>
      <w:r>
        <w:t xml:space="preserve">paragraph containing several inline images no sensible way to caption them</w:t>
      </w:r>
      <w:r>
        <w:t xml:space="preserve"> </w:t>
      </w:r>
      <w:r>
        <w:t xml:space="preserve">individually. Expect the Word version to be taller than the PDF.</w:t>
      </w:r>
    </w:p>
    <w:p>
      <w:pPr>
        <w:pStyle w:val="Compact"/>
        <w:keepNext/>
        <w:jc w:val="center"/>
      </w:pPr>
      <w:r>
        <w:drawing>
          <wp:inline>
            <wp:extent cx="2971800" cy="2107437"/>
            <wp:effectExtent b="0" l="0" r="0" t="0"/>
            <wp:docPr descr="Figure 1: A two-panel figure. (a,b) Placeholder panels drawn only to occupy space. The caption must sit on its own line, stay with its figure across a page break, and carry a live figure number. — (a) First placeholder panel" title="" id="22" name="Picture"/>
            <a:graphic>
              <a:graphicData uri="http://schemas.openxmlformats.org/drawingml/2006/picture">
                <pic:pic>
                  <pic:nvPicPr>
                    <pic:cNvPr descr="figures/panel_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0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jc w:val="center"/>
      </w:pPr>
      <w:r>
        <w:t xml:space="preserve">(a) First placeholder panel</w:t>
      </w:r>
    </w:p>
    <w:p>
      <w:pPr>
        <w:pStyle w:val="Compact"/>
        <w:keepNext/>
        <w:jc w:val="center"/>
      </w:pPr>
      <w:r>
        <w:drawing>
          <wp:inline>
            <wp:extent cx="2971800" cy="2107437"/>
            <wp:effectExtent b="0" l="0" r="0" t="0"/>
            <wp:docPr descr="Figure 1: A two-panel figure. (a,b) Placeholder panels drawn only to occupy space. The caption must sit on its own line, stay with its figure across a page break, and carry a live figure number. — (b) Second placeholder panel" title="" id="25" name="Picture"/>
            <a:graphic>
              <a:graphicData uri="http://schemas.openxmlformats.org/drawingml/2006/picture">
                <pic:pic>
                  <pic:nvPicPr>
                    <pic:cNvPr descr="figures/panel_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0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keepNext/>
        <w:jc w:val="center"/>
      </w:pPr>
      <w:r>
        <w:t xml:space="preserve">(b) Second placeholder panel</w:t>
      </w:r>
    </w:p>
    <w:p>
      <w:pPr>
        <w:pStyle w:val="ImageCaption"/>
      </w:pPr>
      <w:r>
        <w:rPr>
          <w:rStyle w:val="Hyperlink"/>
        </w:rPr>
        <w:t xml:space="preserve">Figure </w:t>
      </w:r>
      <w:bookmarkStart w:id="60" w:name="fig_panels"/>
      <w:r>
        <w:rPr>
          <w:rStyle w:val="Hyperlink"/>
        </w:rPr>
        <w:fldChar w:fldCharType="begin"/>
      </w:r>
      <w:r>
        <w:rPr>
          <w:rStyle w:val="Hyperlink"/>
        </w:rPr>
        <w:instrText xml:space="preserve"> SEQ figure \* ARABIC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1</w:t>
      </w:r>
      <w:r>
        <w:rPr>
          <w:rStyle w:val="Hyperlink"/>
        </w:rPr>
        <w:fldChar w:fldCharType="end"/>
      </w:r>
      <w:bookmarkEnd w:id="60"/>
      <w:r>
        <w:t xml:space="preserve">: A two-panel figure. (a,b) Placeholder panels drawn only to occupy</w:t>
      </w:r>
      <w:r>
        <w:t xml:space="preserve"> </w:t>
      </w:r>
      <w:r>
        <w:t xml:space="preserve">space. The caption must sit on its own line, stay with its figure across a</w:t>
      </w:r>
      <w:r>
        <w:t xml:space="preserve"> </w:t>
      </w:r>
      <w:r>
        <w:t xml:space="preserve">page break, and carry a live figure number.</w:t>
      </w:r>
    </w:p>
    <w:p>
      <w:pPr>
        <w:pStyle w:val="BodyText"/>
      </w:pPr>
      <w:r>
        <w:t xml:space="preserve">A single wide figure, and one supplied as a PDF so the converter has to</w:t>
      </w:r>
      <w:r>
        <w:t xml:space="preserve"> </w:t>
      </w:r>
      <w:r>
        <w:t xml:space="preserve">rasterise it – Word cannot embed PDF artwork.</w:t>
      </w:r>
    </w:p>
    <w:p>
      <w:pPr>
        <w:pStyle w:val="CaptionedFigure"/>
        <w:keepNext/>
        <w:jc w:val="center"/>
      </w:pPr>
      <w:r>
        <w:drawing>
          <wp:inline>
            <wp:extent cx="2971800" cy="1085889"/>
            <wp:effectExtent b="0" l="0" r="0" t="0"/>
            <wp:docPr descr="Figure 2: A wide placeholder figure. Every image is scaled to one uniform width in the Word output, so the relative sizes of the source figures are not preserved." title="" id="30" name="Picture"/>
            <a:graphic>
              <a:graphicData uri="http://schemas.openxmlformats.org/drawingml/2006/picture">
                <pic:pic>
                  <pic:nvPicPr>
                    <pic:cNvPr descr="figures/wide_plo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8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Hyperlink"/>
        </w:rPr>
        <w:t xml:space="preserve">Figure </w:t>
      </w:r>
      <w:bookmarkStart w:id="61" w:name="fig_wide"/>
      <w:r>
        <w:rPr>
          <w:rStyle w:val="Hyperlink"/>
        </w:rPr>
        <w:fldChar w:fldCharType="begin"/>
      </w:r>
      <w:r>
        <w:rPr>
          <w:rStyle w:val="Hyperlink"/>
        </w:rPr>
        <w:instrText xml:space="preserve"> SEQ figure \* ARABIC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bookmarkEnd w:id="61"/>
      <w:r>
        <w:t xml:space="preserve">: A wide placeholder figure. Every image is scaled to one uniform width</w:t>
      </w:r>
      <w:r>
        <w:t xml:space="preserve"> </w:t>
      </w:r>
      <w:r>
        <w:t xml:space="preserve">in the Word output, so the relative sizes of the source figures are not</w:t>
      </w:r>
      <w:r>
        <w:t xml:space="preserve"> </w:t>
      </w:r>
      <w:r>
        <w:t xml:space="preserve">preserved.</w:t>
      </w:r>
    </w:p>
    <w:p>
      <w:pPr>
        <w:pStyle w:val="CaptionedFigure"/>
        <w:keepNext/>
        <w:jc w:val="center"/>
      </w:pPr>
      <w:r>
        <w:drawing>
          <wp:inline>
            <wp:extent cx="2971800" cy="2171278"/>
            <wp:effectExtent b="0" l="0" r="0" t="0"/>
            <wp:docPr descr="Figure 3: A figure supplied as PDF. The converter rasterises it at 300 dpi before handing the document to pandoc." title="" id="34" name="Picture"/>
            <a:graphic>
              <a:graphicData uri="http://schemas.openxmlformats.org/drawingml/2006/picture">
                <pic:pic>
                  <pic:nvPicPr>
                    <pic:cNvPr descr="figures/vector_plo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7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Hyperlink"/>
        </w:rPr>
        <w:t xml:space="preserve">Figure </w:t>
      </w:r>
      <w:bookmarkStart w:id="62" w:name="fig_vector"/>
      <w:r>
        <w:rPr>
          <w:rStyle w:val="Hyperlink"/>
        </w:rPr>
        <w:fldChar w:fldCharType="begin"/>
      </w:r>
      <w:r>
        <w:rPr>
          <w:rStyle w:val="Hyperlink"/>
        </w:rPr>
        <w:instrText xml:space="preserve"> SEQ figure \* ARABIC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3</w:t>
      </w:r>
      <w:r>
        <w:rPr>
          <w:rStyle w:val="Hyperlink"/>
        </w:rPr>
        <w:fldChar w:fldCharType="end"/>
      </w:r>
      <w:bookmarkEnd w:id="62"/>
      <w:r>
        <w:t xml:space="preserve">: A figure supplied as PDF. The converter rasterises it at 300 dpi</w:t>
      </w:r>
      <w:r>
        <w:t xml:space="preserve"> </w:t>
      </w:r>
      <w:r>
        <w:t xml:space="preserve">before handing the document to pandoc.</w:t>
      </w:r>
    </w:p>
    <w:p>
      <w:pPr>
        <w:pStyle w:val="Heading2"/>
      </w:pPr>
      <w:bookmarkStart w:id="39" w:name="sec_results_tables"/>
      <w:r>
        <w:t xml:space="preserve"> </w:t>
      </w:r>
      <w:r>
        <w:t xml:space="preserve">Tables</w:t>
      </w:r>
      <w:bookmarkEnd w:id="39"/>
    </w:p>
    <w:p>
      <w:pPr>
        <w:pStyle w:val="FirstParagraph"/>
      </w:pPr>
      <w:r>
        <w:t xml:space="preserve">A booktabs table whose numeric columns are plain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columns holding</w:t>
      </w:r>
      <w:r>
        <w:t xml:space="preserve"> </w:t>
      </w:r>
      <w:r>
        <w:t xml:space="preserve">pre-formatted values. siunitx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columns are deliberately avoided in a</w:t>
      </w:r>
      <w:r>
        <w:t xml:space="preserve"> </w:t>
      </w:r>
      <w:r>
        <w:t xml:space="preserve">line-numbered document:</w:t>
      </w:r>
      <w:r>
        <w:t xml:space="preserve"> </w:t>
      </w:r>
      <w:r>
        <w:rPr>
          <w:rStyle w:val="VerbatimChar"/>
        </w:rPr>
        <w:t xml:space="preserve">lineno</w:t>
      </w:r>
      <w:r>
        <w:t xml:space="preserve"> </w:t>
      </w:r>
      <w:r>
        <w:t xml:space="preserve">redefines the row separator, which</w:t>
      </w:r>
      <w:r>
        <w:t xml:space="preserve"> </w:t>
      </w:r>
      <w:r>
        <w:t xml:space="preserve">breaks siunitx’s table collector. Word has no decimal-aligned column type</w:t>
      </w:r>
      <w:r>
        <w:t xml:space="preserve"> </w:t>
      </w:r>
      <w:r>
        <w:t xml:space="preserve">anyway, so the values have to be formatted by hand either way.</w:t>
      </w:r>
    </w:p>
    <w:tbl>
      <w:tblPr>
        <w:tblStyle w:val="Table"/>
        <w:tblW w:type="auto" w:w="0"/>
        <w:jc w:val="center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  <w:tblLook w:firstRow="1" w:lastRow="0" w:firstColumn="0" w:lastColumn="0" w:noHBand="0" w:noVBand="0" w:val="0020"/>
        <w:tblCaption w:val="Table 1: Summary of placeholder measurements, reported as mean ± standard deviation across repeats.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Count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0.279</m:t>
              </m:r>
              <m:r>
                <m:rPr>
                  <m:sty m:val="p"/>
                </m:rPr>
                <m:t>±</m:t>
              </m:r>
              <m:r>
                <m:t>0.023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uniform loading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0.281</m:t>
              </m:r>
              <m:r>
                <m:rPr>
                  <m:sty m:val="p"/>
                </m:rPr>
                <m:t>±</m:t>
              </m:r>
              <m:r>
                <m:t>0.024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constant pressure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0.372</m:t>
              </m:r>
              <m:r>
                <m:rPr>
                  <m:sty m:val="p"/>
                </m:rPr>
                <m:t>±</m:t>
              </m:r>
              <m:r>
                <m:t>0.044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48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ramped input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0.316</m:t>
              </m:r>
              <m:r>
                <m:rPr>
                  <m:sty m:val="p"/>
                </m:rPr>
                <m:t>±</m:t>
              </m:r>
              <m:r>
                <m:t>0.030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t xml:space="preserve">49</w:t>
            </w:r>
          </w:p>
        </w:tc>
      </w:tr>
    </w:tbl>
    <w:p>
      <w:pPr>
        <w:pStyle w:val="TableCaption"/>
      </w:pPr>
      <w:r>
        <w:rPr>
          <w:rStyle w:val="Hyperlink"/>
        </w:rPr>
        <w:t xml:space="preserve">Table </w:t>
      </w:r>
      <w:bookmarkStart w:id="63" w:name="tab_summary"/>
      <w:r>
        <w:rPr>
          <w:rStyle w:val="Hyperlink"/>
        </w:rPr>
        <w:fldChar w:fldCharType="begin"/>
      </w:r>
      <w:r>
        <w:rPr>
          <w:rStyle w:val="Hyperlink"/>
        </w:rPr>
        <w:instrText xml:space="preserve"> SEQ table \* ARABIC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1</w:t>
      </w:r>
      <w:r>
        <w:rPr>
          <w:rStyle w:val="Hyperlink"/>
        </w:rPr>
        <w:fldChar w:fldCharType="end"/>
      </w:r>
      <w:bookmarkEnd w:id="63"/>
      <w:r>
        <w:t xml:space="preserve">: Summary of placeholder measurements, reported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</w:t>
      </w:r>
      <w:r>
        <w:t xml:space="preserve"> </w:t>
      </w:r>
      <w:r>
        <w:t xml:space="preserve">deviation across repeats.</w:t>
      </w:r>
    </w:p>
    <w:p>
      <w:pPr>
        <w:pStyle w:val="BodyText"/>
      </w:pPr>
      <w:r>
        <w:t xml:space="preserve">As reported in</w:t>
      </w:r>
      <w:r>
        <w:t xml:space="preserve"> </w:t>
      </w:r>
      <w:r>
        <w:rPr>
          <w:rStyle w:val="Hyperlink"/>
        </w:rPr>
        <w:t xml:space="preserve">Table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tab_summary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1</w:t>
      </w:r>
      <w:r>
        <w:rPr>
          <w:rStyle w:val="Hyperlink"/>
        </w:rPr>
        <w:fldChar w:fldCharType="end"/>
      </w:r>
      <w:r>
        <w:t xml:space="preserve">, case C differs from the baseline while the</w:t>
      </w:r>
      <w:r>
        <w:t xml:space="preserve"> </w:t>
      </w:r>
      <w:r>
        <w:t xml:space="preserve">others do not. The corresponding trajectories appear in</w:t>
      </w:r>
      <w:r>
        <w:t xml:space="preserve"> </w:t>
      </w:r>
      <w:r>
        <w:rPr>
          <w:rStyle w:val="Hyperlink"/>
        </w:rPr>
        <w:t xml:space="preserve">Figure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fig_wide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r>
        <w:t xml:space="preserve">, and</w:t>
      </w:r>
      <w:r>
        <w:t xml:space="preserve"> </w:t>
      </w:r>
      <w:r>
        <w:t xml:space="preserve">the derivation behind</w:t>
      </w:r>
      <w:r>
        <w:t xml:space="preserve"> </w:t>
      </w:r>
      <w:r>
        <w:rPr>
          <w:rStyle w:val="Hyperlink"/>
        </w:rPr>
        <w:t xml:space="preserve">Eq.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eq_energy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(4)</w:t>
      </w:r>
      <w:r>
        <w:rPr>
          <w:rStyle w:val="Hyperlink"/>
        </w:rPr>
        <w:fldChar w:fldCharType="end"/>
      </w:r>
      <w:r>
        <w:t xml:space="preserve"> </w:t>
      </w:r>
      <w:r>
        <w:t xml:space="preserve">is given in</w:t>
      </w:r>
      <w:r>
        <w:t xml:space="preserve"> </w:t>
      </w:r>
      <w:r>
        <w:rPr>
          <w:rStyle w:val="Hyperlink"/>
        </w:rPr>
        <w:t xml:space="preserve">Appendix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sec_appendix_a \r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A</w:t>
      </w:r>
      <w:r>
        <w:rPr>
          <w:rStyle w:val="Hyperlink"/>
        </w:rPr>
        <w:fldChar w:fldCharType="end"/>
      </w:r>
      <w:r>
        <w:t xml:space="preserve">.</w:t>
      </w:r>
    </w:p>
    <w:p>
      <w:pPr>
        <w:pStyle w:val="Heading2"/>
      </w:pPr>
      <w:bookmarkStart w:id="42" w:name="sec_results_discussion"/>
      <w:r>
        <w:t xml:space="preserve"> </w:t>
      </w:r>
      <w:r>
        <w:t xml:space="preserve">Discussion</w:t>
      </w:r>
      <w:bookmarkEnd w:id="42"/>
    </w:p>
    <w:p>
      <w:pPr>
        <w:pStyle w:val="FirstParagraph"/>
      </w:pPr>
      <w:r>
        <w:t xml:space="preserve">Text after the floats, to confirm that the body resumes cleanly. A URL in</w:t>
      </w:r>
      <w:r>
        <w:t xml:space="preserve"> </w:t>
      </w:r>
      <w:r>
        <w:t xml:space="preserve">running prose must become a clickable link with its trailing punctuation</w:t>
      </w:r>
      <w:r>
        <w:t xml:space="preserve"> </w:t>
      </w:r>
      <w:r>
        <w:t xml:space="preserve">excluded: see</w:t>
      </w:r>
      <w:r>
        <w:t xml:space="preserve"> </w:t>
      </w:r>
      <w:hyperlink r:id="rId40">
        <w:r>
          <w:rPr>
            <w:rStyle w:val="Hyperlink"/>
          </w:rPr>
          <w:t xml:space="preserve">https://doi.org/10.1000/placeholder.2020.101</w:t>
        </w:r>
      </w:hyperlink>
      <w:r>
        <w:t xml:space="preserve">. A bare URL</w:t>
      </w:r>
      <w:r>
        <w:t xml:space="preserve"> </w:t>
      </w:r>
      <w:r>
        <w:t xml:space="preserve">inside parentheses is the case that used to break, because the closing</w:t>
      </w:r>
      <w:r>
        <w:t xml:space="preserve"> </w:t>
      </w:r>
      <w:r>
        <w:t xml:space="preserve">parenthesis was swallowed into the link target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https://example.org/path_with_parens</w:t>
        </w:r>
      </w:hyperlink>
      <w:r>
        <w:t xml:space="preserve">).</w:t>
      </w:r>
    </w:p>
    <w:p>
      <w:pPr>
        <w:pStyle w:val="Heading1"/>
        <w:numPr>
          <w:ilvl w:val="0"/>
          <w:numId w:val="1005"/>
        </w:numPr>
      </w:pPr>
      <w:bookmarkStart w:id="45" w:name="sec_appendix_a"/>
      <w:r>
        <w:t xml:space="preserve"> </w:t>
      </w:r>
      <w:r>
        <w:t xml:space="preserve">Supporting derivation</w:t>
      </w:r>
      <w:bookmarkEnd w:id="45"/>
    </w:p>
    <w:p>
      <w:pPr>
        <w:pStyle w:val="FirstParagraph"/>
      </w:pPr>
      <w:r>
        <w:t xml:space="preserve">Appendix headings are lettered rather than numbered, and cross-references to</w:t>
      </w:r>
      <w:r>
        <w:t xml:space="preserve"> </w:t>
      </w:r>
      <w:r>
        <w:t xml:space="preserve">them must say "Appendix A" – that is what</w:t>
      </w:r>
      <w:r>
        <w:t xml:space="preserve"> </w:t>
      </w:r>
      <w:r>
        <w:rPr>
          <w:rStyle w:val="VerbatimChar"/>
        </w:rPr>
        <w:t xml:space="preserve">\crefalias</w:t>
      </w:r>
      <w:r>
        <w:t xml:space="preserve"> </w:t>
      </w:r>
      <w:r>
        <w:t xml:space="preserve">in the preamble</w:t>
      </w:r>
      <w:r>
        <w:t xml:space="preserve"> </w:t>
      </w:r>
      <w:r>
        <w:t xml:space="preserve">arranges. Referring back to the body still works: see</w:t>
      </w:r>
      <w:r>
        <w:t xml:space="preserve"> </w:t>
      </w:r>
      <w:r>
        <w:rPr>
          <w:rStyle w:val="Hyperlink"/>
        </w:rPr>
        <w:t xml:space="preserve">Section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sec_theory \r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r>
        <w:t xml:space="preserve"> </w:t>
      </w:r>
      <w:r>
        <w:t xml:space="preserve">and</w:t>
      </w:r>
      <w:r>
        <w:t xml:space="preserve"> </w:t>
      </w:r>
      <w:r>
        <w:rPr>
          <w:rStyle w:val="Hyperlink"/>
        </w:rPr>
        <w:t xml:space="preserve">Eq.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eq_governing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(1)</w:t>
      </w:r>
      <w:r>
        <w:rPr>
          <w:rStyle w:val="Hyperlink"/>
        </w:rPr>
        <w:fldChar w:fldCharType="end"/>
      </w:r>
      <w:r>
        <w:t xml:space="preserve">.</w:t>
      </w:r>
    </w:p>
    <w:bookmarkStart w:id="44" w:name="eq_projection"/>
    <w:p>
      <w:pPr>
        <w:pStyle w:val="BodyText"/>
      </w:pPr>
      <w:r>
        <w:t xml:space="preserve">Starting from</w:t>
      </w:r>
      <w:r>
        <w:t xml:space="preserve"> </w:t>
      </w:r>
      <w:r>
        <w:rPr>
          <w:rStyle w:val="Hyperlink"/>
        </w:rPr>
        <w:t xml:space="preserve">Eq.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eq_governing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(1)</w:t>
      </w:r>
      <w:r>
        <w:rPr>
          <w:rStyle w:val="Hyperlink"/>
        </w:rPr>
        <w:fldChar w:fldCharType="end"/>
      </w:r>
      <w:r>
        <w:t xml:space="preserve"> </w:t>
      </w:r>
      <w:r>
        <w:t xml:space="preserve">and projecting onto the equilibrium profile,</w:t>
      </w:r>
    </w:p>
    <w:p>
      <w:pPr>
        <w:pStyle w:val="BodyText"/>
        <w:tabs>
          <w:tab w:val="right" w:pos="9360"/>
        </w:tabs>
      </w:pPr>
      <m:oMath>
        <m:sSub>
          <m:e>
            <m:r>
              <m:t>v</m:t>
            </m:r>
          </m:e>
          <m:sub>
            <m:r>
              <m:t>n</m:t>
            </m:r>
          </m:sub>
        </m:sSub>
        <m:f>
          <m:fPr>
            <m:type m:val="bar"/>
          </m:fPr>
          <m:num>
            <m:r>
              <m:t>σ</m:t>
            </m:r>
          </m:num>
          <m:den>
            <m:r>
              <m:t>κ</m:t>
            </m:r>
          </m:den>
        </m:f>
        <m:r>
          <m:rPr>
            <m:sty m:val="p"/>
          </m:rPr>
          <m:t>=</m:t>
        </m:r>
        <m:f>
          <m:fPr/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r>
          <m:t>E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u</m:t>
        </m:r>
        <m:r>
          <m:rPr>
            <m:sty m:val="p"/>
          </m:rPr>
          <m:t>,</m:t>
        </m:r>
      </m:oMath>
      <w:r>
        <w:tab/>
      </w:r>
      <w:bookmarkStart w:id="59" w:name="_Ref_Eq6"/>
      <w:r>
        <w:t xml:space="preserve">(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</w:t>
      </w:r>
      <w:bookmarkEnd w:id="59"/>
    </w:p>
    <w:p>
      <w:pPr>
        <w:pStyle w:val="FirstParagraph"/>
      </w:pPr>
      <w:r>
        <w:t xml:space="preserve">which reduces, to leading order, to</w:t>
      </w:r>
    </w:p>
    <w:p>
      <w:pPr>
        <w:pStyle w:val="BodyText"/>
        <w:jc w:val="left"/>
      </w:pP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.</m:t>
        </m:r>
      </m:oMath>
      <w:r>
        <w:tab/>
      </w:r>
    </w:p>
    <w:bookmarkEnd w:id="44"/>
    <w:p>
      <w:pPr>
        <w:pStyle w:val="FirstParagraph"/>
      </w:pPr>
      <w:r>
        <w:t xml:space="preserve">The unnumbered form above is deliberate: it is an intermediate step, not a</w:t>
      </w:r>
      <w:r>
        <w:t xml:space="preserve"> </w:t>
      </w:r>
      <w:r>
        <w:t xml:space="preserve">result, and it must not consume an equation number.</w:t>
      </w:r>
    </w:p>
    <w:p>
      <w:pPr>
        <w:pStyle w:val="Heading1"/>
        <w:numPr>
          <w:ilvl w:val="0"/>
          <w:numId w:val="1005"/>
        </w:numPr>
      </w:pPr>
      <w:bookmarkStart w:id="47" w:name="sec_appendix_b"/>
      <w:r>
        <w:t xml:space="preserve"> </w:t>
      </w:r>
      <w:r>
        <w:t xml:space="preserve">Numerical parameters</w:t>
      </w:r>
      <w:bookmarkEnd w:id="47"/>
    </w:p>
    <w:p>
      <w:pPr>
        <w:pStyle w:val="FirstParagraph"/>
      </w:pPr>
      <w:r>
        <w:t xml:space="preserve">A second appendix, so the converter has to recognise more than one appendix</w:t>
      </w:r>
      <w:r>
        <w:t xml:space="preserve"> </w:t>
      </w:r>
      <w:r>
        <w:t xml:space="preserve">title. The parameters used throughout are collected in</w:t>
      </w:r>
      <w:r>
        <w:t xml:space="preserve"> </w:t>
      </w:r>
      <w:r>
        <w:rPr>
          <w:rStyle w:val="Hyperlink"/>
        </w:rPr>
        <w:t xml:space="preserve">Table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REF tab_params \h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r>
        <w:t xml:space="preserve">.</w:t>
      </w:r>
    </w:p>
    <w:tbl>
      <w:tblPr>
        <w:tblStyle w:val="Table"/>
        <w:tblW w:type="auto" w:w="0"/>
        <w:jc w:val="center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  <w:tblLook w:firstRow="1" w:lastRow="0" w:firstColumn="0" w:lastColumn="0" w:noHBand="0" w:noVBand="0" w:val="0020"/>
        <w:tblCaption w:val="Table 2: Placeholder numerical parameters.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Units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s⁻¹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right"/>
            </w:pPr>
            <w:r>
              <w:t xml:space="preserve">1.0 × 10⁻¹⁶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m² s⁻¹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t xml:space="preserve">GPa</w:t>
            </w:r>
          </w:p>
        </w:tc>
      </w:tr>
    </w:tbl>
    <w:p>
      <w:pPr>
        <w:pStyle w:val="TableCaption"/>
      </w:pPr>
      <w:r>
        <w:rPr>
          <w:rStyle w:val="Hyperlink"/>
        </w:rPr>
        <w:t xml:space="preserve">Table </w:t>
      </w:r>
      <w:bookmarkStart w:id="64" w:name="tab_params"/>
      <w:r>
        <w:rPr>
          <w:rStyle w:val="Hyperlink"/>
        </w:rPr>
        <w:fldChar w:fldCharType="begin"/>
      </w:r>
      <w:r>
        <w:rPr>
          <w:rStyle w:val="Hyperlink"/>
        </w:rPr>
        <w:instrText xml:space="preserve"> SEQ table \* ARABIC </w:instrText>
      </w:r>
      <w:r>
        <w:rPr>
          <w:rStyle w:val="Hyperlink"/>
        </w:rPr>
        <w:fldChar w:fldCharType="separate"/>
      </w:r>
      <w:r>
        <w:rPr>
          <w:rStyle w:val="Hyperlink"/>
        </w:rPr>
        <w:t xml:space="preserve">2</w:t>
      </w:r>
      <w:r>
        <w:rPr>
          <w:rStyle w:val="Hyperlink"/>
        </w:rPr>
        <w:fldChar w:fldCharType="end"/>
      </w:r>
      <w:bookmarkEnd w:id="64"/>
      <w:r>
        <w:t xml:space="preserve">: Placeholder numerical parameters.</w:t>
      </w:r>
    </w:p>
    <w:p>
      <w:pPr>
        <w:pStyle w:val="BodyText"/>
      </w:pPr>
      <w:r>
        <w:t xml:space="preserve">The relative tolerance was 1 × 10⁻⁶, the grid spacing 25 nm,</w:t>
      </w:r>
      <w:r>
        <w:t xml:space="preserve"> </w:t>
      </w:r>
      <w:r>
        <w:t xml:space="preserve">and the domain 10 µm×1 µm. Robust statistics follow</w:t>
      </w:r>
      <w:r>
        <w:t xml:space="preserve"> </w:t>
      </w:r>
      <w:hyperlink w:anchor="bibref_5">
        <w:r>
          <w:rPr>
            <w:rStyle w:val="Hyperlink"/>
            <w:color w:val="000000"/>
          </w:rPr>
          <w:t xml:space="preserve">Noe and Roe </w:t>
        </w:r>
        <w:r>
          <w:rPr>
            <w:rStyle w:val="Hyperlink"/>
            <w:color w:val="000000"/>
          </w:rPr>
          <w:t xml:space="preserve">[</w:t>
        </w:r>
        <w:r>
          <w:rPr>
            <w:rStyle w:val="Hyperlink"/>
            <w:color w:val="000000"/>
          </w:rPr>
          <w:t xml:space="preserve">5</w:t>
        </w:r>
        <w:r>
          <w:rPr>
            <w:rStyle w:val="Hyperlink"/>
            <w:color w:val="000000"/>
          </w:rPr>
          <w:t xml:space="preserve">]</w:t>
        </w:r>
      </w:hyperlink>
      <w:r>
        <w:t xml:space="preserve">.</w:t>
      </w:r>
    </w:p>
    <w:bookmarkStart w:id="48" w:name="references"/>
    <w:p>
      <w:pPr>
        <w:pStyle w:val="Heading1"/>
        <w:numPr>
          <w:ilvl w:val="0"/>
          <w:numId w:val="0"/>
        </w:numPr>
      </w:pPr>
      <w:r>
        <w:t xml:space="preserve"> </w:t>
      </w:r>
      <w:r>
        <w:t xml:space="preserve">References</w:t>
      </w:r>
    </w:p>
    <w:p>
      <w:pPr>
        <w:pStyle w:val="FirstParagraph"/>
        <w:ind w:left="567" w:hanging="567"/>
        <w:jc w:val="left"/>
      </w:pPr>
      <w:bookmarkStart w:id="49" w:name="bibref_1"/>
      <w:r>
        <w:t xml:space="preserve">[1] Jane Doe and Richard Roe. A placeholder study of diffusion in layered media.</w:t>
      </w:r>
      <w:r>
        <w:t xml:space="preserve"> </w:t>
      </w:r>
      <w:r>
        <w:rPr>
          <w:i/>
          <w:iCs/>
        </w:rPr>
        <w:t xml:space="preserve">Journal of Placeholder Results</w:t>
      </w:r>
      <w:r>
        <w:t xml:space="preserve">, 12 (3): 101–118, 2020. doi: </w:t>
      </w:r>
      <w:hyperlink r:id="rId42">
        <w:r>
          <w:rPr>
            <w:rStyle w:val="Hyperlink"/>
          </w:rPr>
          <w:t xml:space="preserve">https://doi.org/10.1000/placeholder.2020.101</w:t>
        </w:r>
      </w:hyperlink>
      <w:r>
        <w:t xml:space="preserve">.</w:t>
      </w:r>
      <w:bookmarkEnd w:id="49"/>
    </w:p>
    <w:p>
      <w:pPr>
        <w:pStyle w:val="BodyText"/>
        <w:ind w:left="567" w:hanging="567"/>
        <w:jc w:val="left"/>
      </w:pPr>
      <w:bookmarkStart w:id="50" w:name="bibref_2"/>
      <w:r>
        <w:t xml:space="preserve">[2] Richard Roe, Ada Poe, and Sam Moe. Kinetics of an entirely fictional phase transformation.</w:t>
      </w:r>
      <w:r>
        <w:t xml:space="preserve"> </w:t>
      </w:r>
      <w:r>
        <w:rPr>
          <w:i/>
          <w:iCs/>
        </w:rPr>
        <w:t xml:space="preserve">Examples in Applied Science</w:t>
      </w:r>
      <w:r>
        <w:t xml:space="preserve">, 5: 44–59, 2021. doi: </w:t>
      </w:r>
      <w:hyperlink r:id="rId43">
        <w:r>
          <w:rPr>
            <w:rStyle w:val="Hyperlink"/>
          </w:rPr>
          <w:t xml:space="preserve">https://doi.org/10.1000/placeholder.2021.44</w:t>
        </w:r>
      </w:hyperlink>
      <w:r>
        <w:t xml:space="preserve">.</w:t>
      </w:r>
      <w:bookmarkEnd w:id="50"/>
    </w:p>
    <w:p>
      <w:pPr>
        <w:pStyle w:val="BodyText"/>
        <w:ind w:left="567" w:hanging="567"/>
        <w:jc w:val="left"/>
      </w:pPr>
      <w:bookmarkStart w:id="51" w:name="bibref_3"/>
      <w:r>
        <w:t xml:space="preserve">[3] Ada Poe.</w:t>
      </w:r>
      <w:r>
        <w:t xml:space="preserve"> </w:t>
      </w:r>
      <w:r>
        <w:rPr>
          <w:i/>
          <w:iCs/>
        </w:rPr>
        <w:t xml:space="preserve">Methods for Documents That Do Not Exist</w:t>
      </w:r>
      <w:r>
        <w:t xml:space="preserve">. Fictional Press, Nowhere, 2019.</w:t>
      </w:r>
      <w:bookmarkEnd w:id="51"/>
    </w:p>
    <w:p>
      <w:pPr>
        <w:pStyle w:val="BodyText"/>
        <w:ind w:left="567" w:hanging="567"/>
        <w:jc w:val="left"/>
      </w:pPr>
      <w:bookmarkStart w:id="52" w:name="bibref_4"/>
      <w:r>
        <w:t xml:space="preserve">[4] Sam Moe and Jane Doe. Imaging protocols for synthetic microstructures.</w:t>
      </w:r>
      <w:r>
        <w:t xml:space="preserve"> </w:t>
      </w:r>
      <w:r>
        <w:rPr>
          <w:i/>
          <w:iCs/>
        </w:rPr>
        <w:t xml:space="preserve">Placeholder Microscopy</w:t>
      </w:r>
      <w:r>
        <w:t xml:space="preserve">, 8 (2): 77–90, 2022. doi: </w:t>
      </w:r>
      <w:hyperlink r:id="rId44">
        <w:r>
          <w:rPr>
            <w:rStyle w:val="Hyperlink"/>
          </w:rPr>
          <w:t xml:space="preserve">https://doi.org/10.1000/placeholder.2022.77</w:t>
        </w:r>
      </w:hyperlink>
      <w:r>
        <w:t xml:space="preserve">.</w:t>
      </w:r>
      <w:bookmarkEnd w:id="52"/>
    </w:p>
    <w:p>
      <w:pPr>
        <w:pStyle w:val="BodyText"/>
        <w:ind w:left="567" w:hanging="567"/>
        <w:jc w:val="left"/>
      </w:pPr>
      <w:bookmarkStart w:id="53" w:name="bibref_5"/>
      <w:r>
        <w:t xml:space="preserve">[5] Kim Noe and Richard Roe. Robust statistics for made-up populations.</w:t>
      </w:r>
      <w:r>
        <w:t xml:space="preserve"> </w:t>
      </w:r>
      <w:r>
        <w:rPr>
          <w:i/>
          <w:iCs/>
        </w:rPr>
        <w:t xml:space="preserve">Statistics for Examples</w:t>
      </w:r>
      <w:r>
        <w:t xml:space="preserve">, 31: 203–221, 2023. doi: </w:t>
      </w:r>
      <w:hyperlink r:id="rId45">
        <w:r>
          <w:rPr>
            <w:rStyle w:val="Hyperlink"/>
          </w:rPr>
          <w:t xml:space="preserve">https://doi.org/10.1000/placeholder.2023.203</w:t>
        </w:r>
      </w:hyperlink>
      <w:r>
        <w:t xml:space="preserve">.</w:t>
      </w:r>
      <w:bookmarkEnd w:id="53"/>
    </w:p>
    <w:bookmarkEnd w:id="48"/>
    <w:sectPr>
      <w:headerReference w:type="default" r:id="rId47"/>
      <w:footerReference w:type="default" r:id="rId46"/>
      <w:footnotePr>
        <w:numRestart w:val="eachSect"/>
      </w:footnotePr>
      <w:pgSz w:w="12240" w:h="15840"/>
      <w:pgMar w:top="1456" w:right="1440" w:bottom="1358" w:left="1440" w:header="720" w:footer="720" w:gutter="0"/>
      <w:lnNumType w:countBy="1" w:restart="continuous" w:distance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/>
        <w:sz w:val="24"/>
        <w:szCs w:val="24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A PREPRINT - AUGUST 23,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nothing"/>
      <w:lvlText w:val="•"/>
      <w:lvlJc w:val="left"/>
      <w:pPr>
        <w:ind w:left="720" w:hanging="360"/>
      </w:pPr>
      <w:rPr>
        <w:rFonts w:ascii="Times New Roman" w:hAnsi="Times New Roman" w:cs="Times New Roman" w:eastAsia="Times New Roman"/>
      </w:rPr>
    </w:lvl>
    <w:lvl w:ilvl="1">
      <w:numFmt w:val="bullet"/>
      <w:suff w:val="nothing"/>
      <w:lvlText w:val="◦"/>
      <w:lvlJc w:val="left"/>
      <w:pPr>
        <w:ind w:left="1440" w:hanging="360"/>
      </w:pPr>
      <w:rPr>
        <w:rFonts w:ascii="Times New Roman" w:hAnsi="Times New Roman" w:cs="Times New Roman" w:eastAsia="Times New Roman"/>
      </w:rPr>
    </w:lvl>
    <w:lvl w:ilvl="2">
      <w:numFmt w:val="bullet"/>
      <w:suff w:val="nothing"/>
      <w:lvlText w:val="▪"/>
      <w:lvlJc w:val="left"/>
      <w:pPr>
        <w:ind w:left="2160" w:hanging="360"/>
      </w:pPr>
      <w:rPr>
        <w:rFonts w:ascii="Times New Roman" w:hAnsi="Times New Roman" w:cs="Times New Roman" w:eastAsia="Times New Roman"/>
      </w:rPr>
    </w:lvl>
    <w:lvl w:ilvl="3">
      <w:numFmt w:val="bullet"/>
      <w:suff w:val="nothing"/>
      <w:lvlText w:val="•"/>
      <w:lvlJc w:val="left"/>
      <w:pPr>
        <w:ind w:left="2880" w:hanging="360"/>
      </w:pPr>
      <w:rPr>
        <w:rFonts w:ascii="Times New Roman" w:hAnsi="Times New Roman" w:cs="Times New Roman" w:eastAsia="Times New Roman"/>
      </w:rPr>
    </w:lvl>
    <w:lvl w:ilvl="4">
      <w:numFmt w:val="bullet"/>
      <w:suff w:val="nothing"/>
      <w:lvlText w:val="◦"/>
      <w:lvlJc w:val="left"/>
      <w:pPr>
        <w:ind w:left="3600" w:hanging="360"/>
      </w:pPr>
      <w:rPr>
        <w:rFonts w:ascii="Times New Roman" w:hAnsi="Times New Roman" w:cs="Times New Roman" w:eastAsia="Times New Roman"/>
      </w:rPr>
    </w:lvl>
    <w:lvl w:ilvl="5">
      <w:numFmt w:val="bullet"/>
      <w:suff w:val="nothing"/>
      <w:lvlText w:val="▪"/>
      <w:lvlJc w:val="left"/>
      <w:pPr>
        <w:ind w:left="4320" w:hanging="360"/>
      </w:pPr>
      <w:rPr>
        <w:rFonts w:ascii="Times New Roman" w:hAnsi="Times New Roman" w:cs="Times New Roman" w:eastAsia="Times New Roman"/>
      </w:rPr>
    </w:lvl>
    <w:lvl w:ilvl="6">
      <w:numFmt w:val="bullet"/>
      <w:suff w:val="nothing"/>
      <w:lvlText w:val="•"/>
      <w:lvlJc w:val="left"/>
      <w:pPr>
        <w:ind w:left="5040" w:hanging="360"/>
      </w:pPr>
      <w:rPr>
        <w:rFonts w:ascii="Times New Roman" w:hAnsi="Times New Roman" w:cs="Times New Roman" w:eastAsia="Times New Roman"/>
      </w:rPr>
    </w:lvl>
    <w:lvl w:ilvl="7">
      <w:numFmt w:val="bullet"/>
      <w:suff w:val="nothing"/>
      <w:lvlText w:val="◦"/>
      <w:lvlJc w:val="left"/>
      <w:pPr>
        <w:ind w:left="5760" w:hanging="360"/>
      </w:pPr>
      <w:rPr>
        <w:rFonts w:ascii="Times New Roman" w:hAnsi="Times New Roman" w:cs="Times New Roman" w:eastAsia="Times New Roman"/>
      </w:rPr>
    </w:lvl>
    <w:lvl w:ilvl="8">
      <w:numFmt w:val="bullet"/>
      <w:suff w:val="nothing"/>
      <w:lvlText w:val="▪"/>
      <w:lvlJc w:val="left"/>
      <w:pPr>
        <w:ind w:left="6480" w:hanging="360"/>
      </w:pPr>
      <w:rPr>
        <w:rFonts w:ascii="Times New Roman" w:hAnsi="Times New Roman" w:cs="Times New Roman" w:eastAsia="Times New Roman"/>
      </w:rPr>
    </w:lvl>
  </w:abstractNum>
  <w:abstractNum w:abstractNumId="99531">
    <w:nsid w:val="00A99531"/>
    <w:multiLevelType w:val="multilevel"/>
    <w:lvl w:ilvl="0">
      <w:start w:val="1"/>
      <w:numFmt w:val="lowerRoman"/>
      <w:suff w:val="nothing"/>
      <w:lvlText w:val="(%1)"/>
      <w:lvlJc w:val="left"/>
      <w:pPr>
        <w:ind w:left="1080" w:hanging="720"/>
      </w:pPr>
      <w:rPr>
        <w:rFonts w:ascii="Times New Roman" w:hAnsi="Times New Roman" w:cs="Times New Roman" w:eastAsia="Times New Roman"/>
      </w:rPr>
    </w:lvl>
    <w:lvl w:ilvl="1">
      <w:start w:val="1"/>
      <w:numFmt w:val="lowerRoman"/>
      <w:suff w:val="nothing"/>
      <w:lvlText w:val="(%2)"/>
      <w:lvlJc w:val="left"/>
      <w:pPr>
        <w:ind w:left="1440" w:hanging="360"/>
      </w:pPr>
      <w:rPr>
        <w:rFonts w:ascii="Times New Roman" w:hAnsi="Times New Roman" w:cs="Times New Roman" w:eastAsia="Times New Roman"/>
      </w:rPr>
    </w:lvl>
    <w:lvl w:ilvl="2">
      <w:start w:val="1"/>
      <w:numFmt w:val="lowerRoman"/>
      <w:suff w:val="nothing"/>
      <w:lvlText w:val="(%3)"/>
      <w:lvlJc w:val="left"/>
      <w:pPr>
        <w:ind w:left="2160" w:hanging="360"/>
      </w:pPr>
      <w:rPr>
        <w:rFonts w:ascii="Times New Roman" w:hAnsi="Times New Roman" w:cs="Times New Roman" w:eastAsia="Times New Roman"/>
      </w:rPr>
    </w:lvl>
    <w:lvl w:ilvl="3">
      <w:start w:val="1"/>
      <w:numFmt w:val="lowerRoman"/>
      <w:suff w:val="nothing"/>
      <w:lvlText w:val="(%4)"/>
      <w:lvlJc w:val="left"/>
      <w:pPr>
        <w:ind w:left="2880" w:hanging="360"/>
      </w:pPr>
      <w:rPr>
        <w:rFonts w:ascii="Times New Roman" w:hAnsi="Times New Roman" w:cs="Times New Roman" w:eastAsia="Times New Roman"/>
      </w:rPr>
    </w:lvl>
    <w:lvl w:ilvl="4">
      <w:start w:val="1"/>
      <w:numFmt w:val="lowerRoman"/>
      <w:suff w:val="nothing"/>
      <w:lvlText w:val="(%5)"/>
      <w:lvlJc w:val="left"/>
      <w:pPr>
        <w:ind w:left="3600" w:hanging="360"/>
      </w:pPr>
      <w:rPr>
        <w:rFonts w:ascii="Times New Roman" w:hAnsi="Times New Roman" w:cs="Times New Roman" w:eastAsia="Times New Roman"/>
      </w:rPr>
    </w:lvl>
    <w:lvl w:ilvl="5">
      <w:start w:val="1"/>
      <w:numFmt w:val="lowerRoman"/>
      <w:suff w:val="nothing"/>
      <w:lvlText w:val="(%6)"/>
      <w:lvlJc w:val="left"/>
      <w:pPr>
        <w:ind w:left="4320" w:hanging="360"/>
      </w:pPr>
      <w:rPr>
        <w:rFonts w:ascii="Times New Roman" w:hAnsi="Times New Roman" w:cs="Times New Roman" w:eastAsia="Times New Roman"/>
      </w:rPr>
    </w:lvl>
    <w:lvl w:ilvl="6">
      <w:start w:val="1"/>
      <w:numFmt w:val="lowerRoman"/>
      <w:suff w:val="nothing"/>
      <w:lvlText w:val="(%7)"/>
      <w:lvlJc w:val="left"/>
      <w:pPr>
        <w:ind w:left="5040" w:hanging="360"/>
      </w:pPr>
      <w:rPr>
        <w:rFonts w:ascii="Times New Roman" w:hAnsi="Times New Roman" w:cs="Times New Roman" w:eastAsia="Times New Roman"/>
      </w:rPr>
    </w:lvl>
    <w:lvl w:ilvl="7">
      <w:start w:val="1"/>
      <w:numFmt w:val="lowerRoman"/>
      <w:suff w:val="nothing"/>
      <w:lvlText w:val="(%8)"/>
      <w:lvlJc w:val="left"/>
      <w:pPr>
        <w:ind w:left="5760" w:hanging="360"/>
      </w:pPr>
      <w:rPr>
        <w:rFonts w:ascii="Times New Roman" w:hAnsi="Times New Roman" w:cs="Times New Roman" w:eastAsia="Times New Roman"/>
      </w:rPr>
    </w:lvl>
    <w:lvl w:ilvl="8">
      <w:start w:val="1"/>
      <w:numFmt w:val="lowerRoman"/>
      <w:suff w:val="nothing"/>
      <w:lvlText w:val="(%9)"/>
      <w:lvlJc w:val="left"/>
      <w:pPr>
        <w:ind w:left="6480" w:hanging="360"/>
      </w:pPr>
      <w:rPr>
        <w:rFonts w:ascii="Times New Roman" w:hAnsi="Times New Roman" w:cs="Times New Roman" w:eastAsia="Times New Roman"/>
      </w:rPr>
    </w:lvl>
  </w:abstractNum>
  <w:abstractNum w:abstractNumId="99201">
    <w:nsid w:val="00A99201"/>
    <w:multiLevelType w:val="multilevel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ascii="Times New Roman" w:hAnsi="Times New Roman" w:cs="Times New Roman" w:eastAsia="Times New Roman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ascii="Times New Roman" w:hAnsi="Times New Roman" w:cs="Times New Roman" w:eastAsia="Times New Roman"/>
      </w:rPr>
    </w:lvl>
    <w:lvl w:ilvl="2">
      <w:start w:val="1"/>
      <w:numFmt w:val="lowerRoman"/>
      <w:suff w:val="nothing"/>
      <w:lvlText w:val="%3."/>
      <w:lvlJc w:val="left"/>
      <w:pPr>
        <w:ind w:left="2160" w:hanging="360"/>
      </w:pPr>
      <w:rPr>
        <w:rFonts w:ascii="Times New Roman" w:hAnsi="Times New Roman" w:cs="Times New Roman" w:eastAsia="Times New Roman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ascii="Times New Roman" w:hAnsi="Times New Roman" w:cs="Times New Roman" w:eastAsia="Times New Roman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ascii="Times New Roman" w:hAnsi="Times New Roman" w:cs="Times New Roman" w:eastAsia="Times New Roman"/>
      </w:rPr>
    </w:lvl>
    <w:lvl w:ilvl="5">
      <w:start w:val="1"/>
      <w:numFmt w:val="lowerRoman"/>
      <w:suff w:val="nothing"/>
      <w:lvlText w:val="%6."/>
      <w:lvlJc w:val="left"/>
      <w:pPr>
        <w:ind w:left="4320" w:hanging="360"/>
      </w:pPr>
      <w:rPr>
        <w:rFonts w:ascii="Times New Roman" w:hAnsi="Times New Roman" w:cs="Times New Roman" w:eastAsia="Times New Roman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ascii="Times New Roman" w:hAnsi="Times New Roman" w:cs="Times New Roman" w:eastAsia="Times New Roman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ascii="Times New Roman" w:hAnsi="Times New Roman" w:cs="Times New Roman" w:eastAsia="Times New Roman"/>
      </w:rPr>
    </w:lvl>
    <w:lvl w:ilvl="8">
      <w:start w:val="1"/>
      <w:numFmt w:val="lowerRoman"/>
      <w:suff w:val="nothing"/>
      <w:lvlText w:val="%9."/>
      <w:lvlJc w:val="left"/>
      <w:pPr>
        <w:ind w:left="6480" w:hanging="360"/>
      </w:pPr>
      <w:rPr>
        <w:rFonts w:ascii="Times New Roman" w:hAnsi="Times New Roman" w:cs="Times New Roman" w:eastAsia="Times New Roman"/>
      </w:rPr>
    </w:lvl>
  </w:abstractNum>
  <w:abstractNum w:abstractNumId="991">
    <w:nsid w:val="0000A991"/>
    <w:multiLevelType w:val="multilevel"/>
    <w:lvl w:ilvl="0">
      <w:numFmt w:val="bullet"/>
      <w:suff w:val="nothing"/>
      <w:lvlText w:val="•"/>
      <w:lvlJc w:val="left"/>
      <w:pPr>
        <w:ind w:left="720" w:hanging="360"/>
      </w:pPr>
      <w:rPr>
        <w:rFonts w:ascii="Times New Roman" w:hAnsi="Times New Roman" w:cs="Times New Roman" w:eastAsia="Times New Roman"/>
      </w:rPr>
    </w:lvl>
    <w:lvl w:ilvl="1">
      <w:numFmt w:val="bullet"/>
      <w:suff w:val="nothing"/>
      <w:lvlText w:val="◦"/>
      <w:lvlJc w:val="left"/>
      <w:pPr>
        <w:ind w:left="1440" w:hanging="360"/>
      </w:pPr>
      <w:rPr>
        <w:rFonts w:ascii="Times New Roman" w:hAnsi="Times New Roman" w:cs="Times New Roman" w:eastAsia="Times New Roman"/>
      </w:rPr>
    </w:lvl>
    <w:lvl w:ilvl="2">
      <w:numFmt w:val="bullet"/>
      <w:suff w:val="nothing"/>
      <w:lvlText w:val="▪"/>
      <w:lvlJc w:val="left"/>
      <w:pPr>
        <w:ind w:left="2160" w:hanging="360"/>
      </w:pPr>
      <w:rPr>
        <w:rFonts w:ascii="Times New Roman" w:hAnsi="Times New Roman" w:cs="Times New Roman" w:eastAsia="Times New Roman"/>
      </w:rPr>
    </w:lvl>
    <w:lvl w:ilvl="3">
      <w:numFmt w:val="bullet"/>
      <w:suff w:val="nothing"/>
      <w:lvlText w:val="•"/>
      <w:lvlJc w:val="left"/>
      <w:pPr>
        <w:ind w:left="2880" w:hanging="360"/>
      </w:pPr>
      <w:rPr>
        <w:rFonts w:ascii="Times New Roman" w:hAnsi="Times New Roman" w:cs="Times New Roman" w:eastAsia="Times New Roman"/>
      </w:rPr>
    </w:lvl>
    <w:lvl w:ilvl="4">
      <w:numFmt w:val="bullet"/>
      <w:suff w:val="nothing"/>
      <w:lvlText w:val="◦"/>
      <w:lvlJc w:val="left"/>
      <w:pPr>
        <w:ind w:left="3600" w:hanging="360"/>
      </w:pPr>
      <w:rPr>
        <w:rFonts w:ascii="Times New Roman" w:hAnsi="Times New Roman" w:cs="Times New Roman" w:eastAsia="Times New Roman"/>
      </w:rPr>
    </w:lvl>
    <w:lvl w:ilvl="5">
      <w:numFmt w:val="bullet"/>
      <w:suff w:val="nothing"/>
      <w:lvlText w:val="▪"/>
      <w:lvlJc w:val="left"/>
      <w:pPr>
        <w:ind w:left="4320" w:hanging="360"/>
      </w:pPr>
      <w:rPr>
        <w:rFonts w:ascii="Times New Roman" w:hAnsi="Times New Roman" w:cs="Times New Roman" w:eastAsia="Times New Roman"/>
      </w:rPr>
    </w:lvl>
    <w:lvl w:ilvl="6">
      <w:numFmt w:val="bullet"/>
      <w:suff w:val="nothing"/>
      <w:lvlText w:val="•"/>
      <w:lvlJc w:val="left"/>
      <w:pPr>
        <w:ind w:left="5040" w:hanging="360"/>
      </w:pPr>
      <w:rPr>
        <w:rFonts w:ascii="Times New Roman" w:hAnsi="Times New Roman" w:cs="Times New Roman" w:eastAsia="Times New Roman"/>
      </w:rPr>
    </w:lvl>
    <w:lvl w:ilvl="7">
      <w:numFmt w:val="bullet"/>
      <w:suff w:val="nothing"/>
      <w:lvlText w:val="◦"/>
      <w:lvlJc w:val="left"/>
      <w:pPr>
        <w:ind w:left="5760" w:hanging="360"/>
      </w:pPr>
      <w:rPr>
        <w:rFonts w:ascii="Times New Roman" w:hAnsi="Times New Roman" w:cs="Times New Roman" w:eastAsia="Times New Roman"/>
      </w:rPr>
    </w:lvl>
    <w:lvl w:ilvl="8">
      <w:numFmt w:val="bullet"/>
      <w:suff w:val="nothing"/>
      <w:lvlText w:val="▪"/>
      <w:lvlJc w:val="left"/>
      <w:pPr>
        <w:ind w:left="6480" w:hanging="360"/>
      </w:pPr>
      <w:rPr>
        <w:rFonts w:ascii="Times New Roman" w:hAnsi="Times New Roman" w:cs="Times New Roman" w:eastAsia="Times New Roman"/>
      </w:rPr>
    </w:lvl>
  </w:abstractNum>
  <w:abstractNum w:abstractNumId="99532">
    <w:multiLevelType w:val="multilevel"/>
    <w:lvl w:ilvl="0">
      <w:start w:val="1"/>
      <w:numFmt w:val="decimal"/>
      <w:pStyle w:val="Heading1"/>
      <w:suff w:val="nothing"/>
      <w:lvlText w:val="%1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ascii="Times New Roman" w:hAnsi="Times New Roman" w:cs="Times New Roman" w:eastAsia="Times New Roman"/>
      </w:rPr>
    </w:lvl>
  </w:abstractNum>
  <w:abstractNum w:abstractNumId="99533">
    <w:multiLevelType w:val="multilevel"/>
    <w:lvl w:ilvl="0">
      <w:start w:val="1"/>
      <w:numFmt w:val="upperLetter"/>
      <w:pStyle w:val="Heading1"/>
      <w:suff w:val="nothing"/>
      <w:lvlText w:val="%1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ascii="Times New Roman" w:hAnsi="Times New Roman" w:cs="Times New Roman" w:eastAsia="Times New Roman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ascii="Times New Roman" w:hAnsi="Times New Roman" w:cs="Times New Roman" w:eastAsia="Times New Roman"/>
      </w:r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532"/>
  </w:num>
  <w:num w:numId="1005">
    <w:abstractNumId w:val="9953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stylePaneFormatFilter w:val="0004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ns1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kern w:val="2"/>
        <w:sz w:val="22"/>
        <w:szCs w:val="24"/>
        <w:lang w:bidi="ar-SA" w:eastAsia="zh-CN" w:val="en-US"/>
        <ns1:ligatures ns1:val="standardContextual"/>
      </w:rPr>
    </w:rPrDefault>
    <w:pPrDefault>
      <w:pPr>
        <w:widowControl/>
        <w:spacing w:after="160" w:line="27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1"/>
      <w:spacing w:after="240" w:line="480" w:lineRule="atLeast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480" w:lineRule="atLeast"/>
    </w:pPr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rPr>
      <w:sz w:val="24"/>
      <w:szCs w:val="24"/>
    </w:rPr>
    <w:pPr>
      <w:spacing w:after="120" w:before="0" w:line="480" w:lineRule="atLeast"/>
    </w:pPr>
  </w:style>
  <w:style w:customStyle="1" w:styleId="Compact" w:type="paragraph">
    <w:name w:val="Compact"/>
    <w:basedOn w:val="BodyText"/>
    <w:qFormat/>
    <w:pPr>
      <w:spacing w:after="120" w:before="0" w:line="480" w:lineRule="atLeast"/>
    </w:pPr>
    <w:rPr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pPr>
      <w:numPr>
        <w:ilvl w:val="1"/>
      </w:numPr>
      <w:jc w:val="center"/>
    </w:pPr>
    <w:rPr>
      <w:rFonts w:ascii="Times New Roman" w:cs="Times New Roman" w:eastAsia="Times New Roman" w:hAnsi="Times New Roman"/>
      <w:color w:themeTint="A6"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Pr>
      <w:rFonts w:ascii="Times New Roman" w:cs="Times New Roman" w:eastAsia="Times New Roman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60" w:before="0" w:line="480" w:lineRule="atLeast"/>
      <w:keepNext w:val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0"/>
      <w:spacing w:after="120" w:before="24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 w:val="0"/>
      <w:spacing w:after="120" w:before="0" w:line="480" w:lineRule="atLeast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>
      <w:tabs>
        <w:tab w:pos="504" w:val="left"/>
      </w:tabs>
      <w:spacing w:after="0" w:line="240" w:lineRule="atLeast"/>
      <w:ind w:hanging="504" w:left="504"/>
    </w:pPr>
  </w:style>
  <w:style w:styleId="Heading1" w:type="paragraph">
    <w:name w:val="heading 1"/>
    <w:basedOn w:val="Normal"/>
    <w:next w:val="BodyText"/>
    <w:link w:val="Heading1Char"/>
    <w:uiPriority w:val="9"/>
    <w:qFormat/>
    <w:pPr>
      <w:numPr>
        <w:ilvl w:val="0"/>
        <w:numId w:val="1004"/>
      </w:numPr>
      <w:keepNext/>
      <w:keepLines/>
      <w:spacing w:after="180" w:before="360" w:line="400" w:lineRule="atLeast"/>
      <w:outlineLvl w:val="0"/>
      <w:jc w:val="left"/>
    </w:pPr>
    <w:rPr>
      <w:rFonts w:ascii="Times New Roman" w:cs="Times New Roman" w:eastAsia="Times New Roman" w:hAnsi="Times New Roman"/>
      <w:b/>
      <w:sz w:val="32"/>
      <w:szCs w:val="4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pPr>
      <w:numPr>
        <w:ilvl w:val="1"/>
        <w:numId w:val="1004"/>
      </w:numPr>
      <w:keepNext/>
      <w:keepLines/>
      <w:spacing w:after="140" w:before="280" w:line="360" w:lineRule="atLeast"/>
      <w:outlineLvl w:val="1"/>
      <w:jc w:val="left"/>
    </w:pPr>
    <w:rPr>
      <w:rFonts w:ascii="Times New Roman" w:cs="Times New Roman" w:eastAsia="Times New Roman" w:hAnsi="Times New Roman"/>
      <w:b/>
      <w:sz w:val="28"/>
      <w:szCs w:val="4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pPr>
      <w:numPr>
        <w:ilvl w:val="2"/>
        <w:numId w:val="1004"/>
      </w:numPr>
      <w:keepNext/>
      <w:keepLines/>
      <w:spacing w:after="120" w:before="240" w:line="320" w:lineRule="atLeast"/>
      <w:outlineLvl w:val="2"/>
      <w:jc w:val="left"/>
    </w:pPr>
    <w:rPr>
      <w:rFonts w:ascii="Times New Roman" w:cs="Times New Roman" w:eastAsia="Times New Roman" w:hAnsi="Times New Roman"/>
      <w:b/>
      <w:sz w:val="26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after="100" w:before="200" w:line="300" w:lineRule="atLeast"/>
      <w:outlineLvl w:val="3"/>
      <w:jc w:val="left"/>
    </w:pPr>
    <w:rPr>
      <w:b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after="40" w:before="80"/>
      <w:outlineLvl w:val="4"/>
      <w:jc w:val="left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after="0" w:before="40"/>
      <w:outlineLvl w:val="5"/>
      <w:jc w:val="left"/>
    </w:pPr>
    <w:rPr>
      <w:rFonts w:ascii="Times New Roman" w:cs="Times New Roman" w:eastAsia="Times New Roman" w:hAnsi="Times New Roman"/>
      <w:b/>
      <w:b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b/>
      <w:bCs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="Times New Roman" w:cs="Times New Roman" w:eastAsia="Times New Roman" w:hAnsi="Times New Roman"/>
      <w:color w:themeTint="A6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Tint="A6" w:val="000000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="Times New Roman" w:cs="Times New Roman" w:eastAsia="Times New Roman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="Times New Roman" w:cs="Times New Roman" w:eastAsia="Times New Roman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Pr>
      <w:rFonts w:ascii="Times New Roman" w:cs="Times New Roman" w:eastAsia="Times New Roman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="Times New Roman" w:cs="Times New Roman" w:eastAsia="Times New Roman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sz w:val="24"/>
      <w:szCs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sz w:val="24"/>
      <w:szCs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a1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styleId="Caption" w:type="paragraph">
    <w:name w:val="Caption"/>
    <w:basedOn w:val="Normal"/>
    <w:link w:val="BodyTextChar"/>
    <w:pPr>
      <w:keepNext w:val="0"/>
      <w:spacing w:after="160" w:before="120" w:line="260" w:lineRule="atLeast"/>
    </w:pPr>
    <w:rPr>
      <w:iCs/>
      <w:sz w:val="24"/>
      <w:szCs w:val="24"/>
    </w:rPr>
  </w:style>
  <w:style w:customStyle="1" w:styleId="TableCaption" w:type="paragraph">
    <w:name w:val="Table Caption"/>
    <w:basedOn w:val="Caption"/>
    <w:pPr>
      <w:spacing w:after="180" w:before="60" w:line="480" w:lineRule="atLeast"/>
      <w:keepNext w:val="0"/>
    </w:pPr>
    <w:rPr>
      <w:sz w:val="24"/>
      <w:szCs w:val="24"/>
    </w:rPr>
  </w:style>
  <w:style w:customStyle="1" w:styleId="ImageCaption" w:type="paragraph">
    <w:pPr>
      <w:spacing w:after="180" w:before="60" w:line="480" w:lineRule="atLeast"/>
      <w:keepNext w:val="0"/>
    </w:pPr>
    <w:name w:val="Image Caption"/>
    <w:basedOn w:val="Caption"/>
    <w:rPr>
      <w:sz w:val="24"/>
      <w:szCs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after="180" w:before="60" w:line="480" w:lineRule="atLeast"/>
      <w:keepNext w:val="0"/>
    </w:pPr>
    <w:rPr>
      <w:sz w:val="24"/>
      <w:szCs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7" w:type="paragraph">
    <w:name w:val="Quote"/>
    <w:basedOn w:val="Normal"/>
    <w:next w:val="Normal"/>
    <w:link w:val="a8"/>
    <w:uiPriority w:val="29"/>
    <w:qFormat/>
    <w:pPr>
      <w:spacing w:before="160"/>
      <w:jc w:val="center"/>
    </w:pPr>
    <w:rPr>
      <w:i/>
      <w:iCs/>
      <w:color w:themeTint="BF" w:val="000000"/>
    </w:rPr>
  </w:style>
  <w:style w:customStyle="1" w:styleId="a8" w:type="character">
    <w:name w:val="Quote Char"/>
    <w:basedOn w:val="DefaultParagraphFont"/>
    <w:link w:val="a7"/>
    <w:uiPriority w:val="29"/>
    <w:rPr>
      <w:i/>
      <w:iCs/>
      <w:color w:themeTint="BF" w:val="000000"/>
    </w:rPr>
  </w:style>
  <w:style w:styleId="a9" w:type="paragraph">
    <w:name w:val="List Paragraph"/>
    <w:basedOn w:val="Normal"/>
    <w:uiPriority w:val="34"/>
    <w:qFormat/>
    <w:pPr>
      <w:spacing w:after="120"/>
      <w:ind w:hanging="360" w:left="360"/>
      <w:contextualSpacing/>
      <w:jc w:val="left"/>
    </w:pPr>
  </w:style>
  <w:style w:styleId="aa" w:type="character">
    <w:name w:val="Intense Emphasis"/>
    <w:basedOn w:val="DefaultParagraphFont"/>
    <w:uiPriority w:val="21"/>
    <w:qFormat/>
    <w:rPr>
      <w:i/>
      <w:iCs/>
      <w:color w:val="000000"/>
    </w:rPr>
  </w:style>
  <w:style w:styleId="ab" w:type="paragraph">
    <w:name w:val="Intense Quote"/>
    <w:basedOn w:val="Normal"/>
    <w:next w:val="Normal"/>
    <w:link w:val="ac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val="000000"/>
    </w:rPr>
  </w:style>
  <w:style w:customStyle="1" w:styleId="ac" w:type="character">
    <w:name w:val="Intense Quote Char"/>
    <w:basedOn w:val="DefaultParagraphFont"/>
    <w:link w:val="ab"/>
    <w:uiPriority w:val="30"/>
    <w:rPr>
      <w:i/>
      <w:iCs/>
      <w:color w:val="000000"/>
    </w:rPr>
  </w:style>
  <w:style w:styleId="ad" w:type="character">
    <w:name w:val="Intense Reference"/>
    <w:basedOn w:val="DefaultParagraphFont"/>
    <w:uiPriority w:val="32"/>
    <w:qFormat/>
    <w:rPr>
      <w:b/>
      <w:bCs/>
      <w:smallCaps/>
      <w:color w:val="000000"/>
      <w:spacing w:val="5"/>
    </w:rPr>
  </w:style>
  <w:style w:styleId="ae" w:type="paragraph">
    <w:name w:val="header"/>
    <w:basedOn w:val="Normal"/>
    <w:link w:val="af"/>
    <w:uiPriority w:val="99"/>
    <w:unhideWhenUsed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header Char"/>
    <w:basedOn w:val="DefaultParagraphFont"/>
    <w:link w:val="ae"/>
    <w:uiPriority w:val="99"/>
    <w:rPr>
      <w:sz w:val="18"/>
      <w:szCs w:val="18"/>
    </w:rPr>
  </w:style>
  <w:style w:styleId="af0" w:type="paragraph">
    <w:name w:val="footer"/>
    <w:basedOn w:val="Normal"/>
    <w:link w:val="af1"/>
    <w:uiPriority w:val="99"/>
    <w:unhideWhenUsed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footer Char"/>
    <w:basedOn w:val="DefaultParagraphFont"/>
    <w:link w:val="af0"/>
    <w:uiPriority w:val="99"/>
    <w:rPr>
      <w:sz w:val="18"/>
      <w:szCs w:val="18"/>
    </w:rPr>
  </w:style>
  <w:style w:styleId="af2" w:type="character">
    <w:name w:val="line number"/>
    <w:basedOn w:val="DefaultParagraphFont"/>
    <w:uiPriority w:val="99"/>
    <w:semiHidden/>
    <w:unhideWhenUsed/>
  </w:style>
  <w:style w:styleId="af3" w:type="character">
    <w:name w:val="annotation reference"/>
    <w:basedOn w:val="DefaultParagraphFont"/>
    <w:uiPriority w:val="99"/>
    <w:semiHidden/>
    <w:unhideWhenUsed/>
    <w:rPr>
      <w:sz w:val="21"/>
      <w:szCs w:val="21"/>
    </w:rPr>
  </w:style>
  <w:style w:styleId="af4" w:type="paragraph">
    <w:name w:val="annotation text"/>
    <w:basedOn w:val="Normal"/>
    <w:link w:val="af5"/>
    <w:uiPriority w:val="99"/>
    <w:unhideWhenUsed/>
    <w:pPr>
      <w:jc w:val="left"/>
    </w:pPr>
  </w:style>
  <w:style w:customStyle="1" w:styleId="af5" w:type="character">
    <w:name w:val="annotation text Char"/>
    <w:basedOn w:val="DefaultParagraphFont"/>
    <w:link w:val="af4"/>
    <w:uiPriority w:val="99"/>
    <w:rPr>
      <w:rFonts w:ascii="Times New Roman" w:cs="Times New Roman" w:eastAsia="Times New Roman" w:hAnsi="Times New Roman"/>
      <w:color w:val="000000"/>
      <w:sz w:val="24"/>
    </w:rPr>
  </w:style>
  <w:style w:styleId="af6" w:type="paragraph">
    <w:name w:val="annotation subject"/>
    <w:basedOn w:val="af4"/>
    <w:next w:val="af4"/>
    <w:link w:val="af7"/>
    <w:uiPriority w:val="99"/>
    <w:semiHidden/>
    <w:unhideWhenUsed/>
    <w:rPr>
      <w:b/>
      <w:bCs/>
    </w:rPr>
  </w:style>
  <w:style w:customStyle="1" w:styleId="af7" w:type="character">
    <w:name w:val="annotation subject Char"/>
    <w:basedOn w:val="af5"/>
    <w:link w:val="af6"/>
    <w:uiPriority w:val="99"/>
    <w:semiHidden/>
    <w:rPr>
      <w:rFonts w:ascii="Times New Roman" w:cs="Times New Roman" w:eastAsia="Times New Roman" w:hAnsi="Times New Roman"/>
      <w:b/>
      <w:bCs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hyperlink" Id="rId40" Target="https://doi.org/10.1000/placeholder.2020.101" TargetMode="External" /><Relationship Type="http://schemas.openxmlformats.org/officeDocument/2006/relationships/hyperlink" Id="rId41" Target="https://example.org/path_with_parens" TargetMode="External" /><Relationship Id="rId42" Type="http://schemas.openxmlformats.org/officeDocument/2006/relationships/hyperlink" Target="https://doi.org/10.1000/placeholder.2020.101" TargetMode="External" /><Relationship Id="rId43" Type="http://schemas.openxmlformats.org/officeDocument/2006/relationships/hyperlink" Target="https://doi.org/10.1000/placeholder.2021.44" TargetMode="External" /><Relationship Id="rId44" Type="http://schemas.openxmlformats.org/officeDocument/2006/relationships/hyperlink" Target="https://doi.org/10.1000/placeholder.2022.77" TargetMode="External" /><Relationship Id="rId45" Type="http://schemas.openxmlformats.org/officeDocument/2006/relationships/hyperlink" Target="https://doi.org/10.1000/placeholder.2023.203" TargetMode="External" /><Relationship Id="rId46" Type="http://schemas.openxmlformats.org/officeDocument/2006/relationships/footer" Target="footer1.xml" /><Relationship Id="rId47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0/placeholder.2020.101" TargetMode="External" /><Relationship Type="http://schemas.openxmlformats.org/officeDocument/2006/relationships/hyperlink" Id="rId41" Target="https://example.org/path_with_pare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1361</Words>
  <SharedDoc>false</SharedDoc>
  <HyperlinksChanged>false</HyperlinksChanged>
  <LinksUpToDate>false</LinksUpToDate>
  <CharactersWithSpaces>8621</CharactersWithSpaces>
  <Template>Normal.dotm</Template>
  <DocSecurity>0</DocSecurity>
  <ScaleCrop>false</ScaleCrop>
  <Characters>7371</Characters>
  <Paragraphs>106</Paragraphs>
  <Company>Mechanical Engineering, University of Michigan, Ann Arbor</Company>
  <Manager>Zhuoyu Chen &lt;zhuoyuc@umich.edu&gt;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reference manuscript template for LaTeX to Word conversion</dc:title>
  <dc:creator>Zhuoyu Chen</dc:creator>
  <cp:keywords>placeholder; template; document conversion; regression fixture; reproducible builds</cp:keywords>
  <dcterms:created xsi:type="dcterms:W3CDTF">2026-08-23T03:42:04Z</dcterms:created>
  <dcterms:modified xsi:type="dcterms:W3CDTF">2026-08-23T03:42:04Z</dcterms:modified>
  <cp:lastModifiedBy>Zhuoyu Chen</cp:lastModifiedBy>
  <dc:language>en-US</dc:languag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