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D6825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《数据挖掘与安全行为分析》实验报告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1653"/>
        <w:gridCol w:w="1265"/>
        <w:gridCol w:w="1380"/>
        <w:gridCol w:w="1418"/>
        <w:gridCol w:w="1418"/>
      </w:tblGrid>
      <w:tr w14:paraId="6EF9E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419" w:type="dxa"/>
          </w:tcPr>
          <w:p w14:paraId="32CBEA55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1573" w:type="dxa"/>
          </w:tcPr>
          <w:p w14:paraId="47482FDE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202378030320</w:t>
            </w:r>
          </w:p>
        </w:tc>
        <w:tc>
          <w:tcPr>
            <w:tcW w:w="1267" w:type="dxa"/>
          </w:tcPr>
          <w:p w14:paraId="66CB5167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 w14:paraId="118BAC98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秦卓越</w:t>
            </w:r>
          </w:p>
        </w:tc>
        <w:tc>
          <w:tcPr>
            <w:tcW w:w="1420" w:type="dxa"/>
          </w:tcPr>
          <w:p w14:paraId="307AF4B0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专业、班级</w:t>
            </w:r>
          </w:p>
        </w:tc>
        <w:tc>
          <w:tcPr>
            <w:tcW w:w="1420" w:type="dxa"/>
          </w:tcPr>
          <w:p w14:paraId="609FE401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信安3班</w:t>
            </w:r>
          </w:p>
        </w:tc>
      </w:tr>
      <w:tr w14:paraId="4D557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419" w:type="dxa"/>
          </w:tcPr>
          <w:p w14:paraId="27CC03FE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实验地点</w:t>
            </w:r>
          </w:p>
        </w:tc>
        <w:tc>
          <w:tcPr>
            <w:tcW w:w="1573" w:type="dxa"/>
          </w:tcPr>
          <w:p w14:paraId="4B1E644B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5号楼209</w:t>
            </w:r>
          </w:p>
        </w:tc>
        <w:tc>
          <w:tcPr>
            <w:tcW w:w="1267" w:type="dxa"/>
          </w:tcPr>
          <w:p w14:paraId="37B94808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420" w:type="dxa"/>
          </w:tcPr>
          <w:p w14:paraId="57F1C9DC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毛奕桥</w:t>
            </w:r>
          </w:p>
        </w:tc>
        <w:tc>
          <w:tcPr>
            <w:tcW w:w="1420" w:type="dxa"/>
          </w:tcPr>
          <w:p w14:paraId="273F8C49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 w14:paraId="2D0DF153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2025.10.23</w:t>
            </w:r>
          </w:p>
        </w:tc>
      </w:tr>
      <w:tr w14:paraId="7B7C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7" w:hRule="atLeast"/>
        </w:trPr>
        <w:tc>
          <w:tcPr>
            <w:tcW w:w="8519" w:type="dxa"/>
            <w:gridSpan w:val="6"/>
          </w:tcPr>
          <w:p w14:paraId="3020992C">
            <w:pPr>
              <w:numPr>
                <w:ilvl w:val="0"/>
                <w:numId w:val="1"/>
              </w:num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实验目的</w:t>
            </w:r>
          </w:p>
          <w:p w14:paraId="3F6F69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掌握数据预处理过程，掌握数据预处理相关方法</w:t>
            </w:r>
          </w:p>
          <w:p w14:paraId="4DB3EDE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实验设备（环境）及要求</w:t>
            </w:r>
          </w:p>
          <w:p w14:paraId="525CA9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1、掌握数据清洗相关方法，包括缺失值和异常值处理</w:t>
            </w:r>
          </w:p>
          <w:p w14:paraId="3BFECA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2、掌握数据离散化方法</w:t>
            </w:r>
          </w:p>
          <w:p w14:paraId="14DC22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3、对两个属性之间的相关性进行分析</w:t>
            </w:r>
          </w:p>
          <w:p w14:paraId="6082CAE4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实验内容与步骤</w:t>
            </w:r>
          </w:p>
          <w:p w14:paraId="0279E877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69230" cy="2105660"/>
                  <wp:effectExtent l="0" t="0" r="127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10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85762C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导入需要的包</w:t>
            </w:r>
          </w:p>
          <w:p w14:paraId="008ECC88">
            <w:pPr>
              <w:widowControl w:val="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3898900" cy="6858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4DBFF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导入数据集</w:t>
            </w:r>
          </w:p>
          <w:p w14:paraId="083CC16A">
            <w:pPr>
              <w:jc w:val="center"/>
            </w:pPr>
            <w:r>
              <w:drawing>
                <wp:inline distT="0" distB="0" distL="114300" distR="114300">
                  <wp:extent cx="3714750" cy="4406900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440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16D407">
            <w:pPr>
              <w:pStyle w:val="2"/>
              <w:jc w:val="center"/>
              <w:rPr>
                <w:rFonts w:hint="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缺失值、异常值检测</w:t>
            </w:r>
            <w:r>
              <w:rPr>
                <w:rFonts w:hint="eastAsia"/>
                <w:lang w:val="en-US" w:eastAsia="zh-CN"/>
              </w:rPr>
              <w:t>与处理</w:t>
            </w:r>
          </w:p>
          <w:p w14:paraId="1E83EB44">
            <w:pPr>
              <w:jc w:val="center"/>
            </w:pPr>
            <w:r>
              <w:drawing>
                <wp:inline distT="0" distB="0" distL="114300" distR="114300">
                  <wp:extent cx="5273040" cy="6584950"/>
                  <wp:effectExtent l="0" t="0" r="1016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658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42916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标准化后的数据与特征值</w:t>
            </w:r>
          </w:p>
          <w:p w14:paraId="1EA11140">
            <w:pPr>
              <w:jc w:val="center"/>
            </w:pPr>
            <w:r>
              <w:drawing>
                <wp:inline distT="0" distB="0" distL="114300" distR="114300">
                  <wp:extent cx="5268595" cy="5911850"/>
                  <wp:effectExtent l="0" t="0" r="1905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591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CB68E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将quality离散为好酒差酒</w:t>
            </w:r>
          </w:p>
          <w:p w14:paraId="2A3D0B8E">
            <w:pPr>
              <w:jc w:val="center"/>
            </w:pPr>
            <w:r>
              <w:drawing>
                <wp:inline distT="0" distB="0" distL="114300" distR="114300">
                  <wp:extent cx="5273040" cy="3811270"/>
                  <wp:effectExtent l="0" t="0" r="10160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81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BD321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PCA降维结果</w:t>
            </w:r>
          </w:p>
          <w:p w14:paraId="02FB766D">
            <w:pPr>
              <w:jc w:val="center"/>
            </w:pPr>
            <w:r>
              <w:drawing>
                <wp:inline distT="0" distB="0" distL="114300" distR="114300">
                  <wp:extent cx="5270500" cy="2128520"/>
                  <wp:effectExtent l="0" t="0" r="0" b="508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212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21B27">
            <w:pPr>
              <w:pStyle w:val="2"/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LDA降维结果</w:t>
            </w:r>
          </w:p>
          <w:p w14:paraId="165BF35E">
            <w:r>
              <w:drawing>
                <wp:inline distT="0" distB="0" distL="114300" distR="114300">
                  <wp:extent cx="5266690" cy="3540760"/>
                  <wp:effectExtent l="0" t="0" r="3810" b="254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54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7DE10">
            <w:pPr>
              <w:pStyle w:val="2"/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t-SNE降维结果</w:t>
            </w:r>
          </w:p>
          <w:p w14:paraId="283CA9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184718D1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分析与讨论</w:t>
            </w:r>
          </w:p>
          <w:p w14:paraId="588BA77F">
            <w:pPr>
              <w:widowControl w:val="0"/>
              <w:numPr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经过此次实验，我对PCA、LDA、t-SNE降维方法有了更深的理解。</w:t>
            </w:r>
            <w:bookmarkStart w:id="0" w:name="_GoBack"/>
            <w:bookmarkEnd w:id="0"/>
          </w:p>
          <w:p w14:paraId="5D74497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3A289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4" w:hRule="atLeast"/>
        </w:trPr>
        <w:tc>
          <w:tcPr>
            <w:tcW w:w="8519" w:type="dxa"/>
            <w:gridSpan w:val="6"/>
          </w:tcPr>
          <w:p w14:paraId="08C9C4E1">
            <w:p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13946382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5F52F"/>
    <w:multiLevelType w:val="singleLevel"/>
    <w:tmpl w:val="1935F5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zZDhjYjQzODIwNTc3MWRiODAxZDNhNzM0MmZjNWUifQ=="/>
  </w:docVars>
  <w:rsids>
    <w:rsidRoot w:val="00000000"/>
    <w:rsid w:val="131325E8"/>
    <w:rsid w:val="443C4EB0"/>
    <w:rsid w:val="4E62250E"/>
    <w:rsid w:val="53582700"/>
    <w:rsid w:val="57E24C8E"/>
    <w:rsid w:val="606E1DA0"/>
    <w:rsid w:val="73A9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67</Words>
  <Characters>67</Characters>
  <Lines>0</Lines>
  <Paragraphs>0</Paragraphs>
  <TotalTime>6</TotalTime>
  <ScaleCrop>false</ScaleCrop>
  <LinksUpToDate>false</LinksUpToDate>
  <CharactersWithSpaces>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2025-09-29T05:59:00Z</dcterms:created>
  <dc:creator>quanz</dc:creator>
  <cp:lastModifiedBy>WPS_1693036207</cp:lastModifiedBy>
  <dcterms:modified xsi:type="dcterms:W3CDTF">2025-10-23T12:18:04Z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78C4EBF8F03D40E29C8CC0DAF18DE4BE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