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完全随机设计方差分析实习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医生为研究一种降血脂新药的疗效，按统一纳入标准选择120名高血脂患者，采用完全随机设计方法将患者等分为四组，进行双盲试验，6周后测得低密度脂蛋白作为试验结果，设4个处理组患者的低密度脂蛋白均近似服从正态分布，问4组的总体均数有无差别？</w:t>
      </w:r>
    </w:p>
    <w:p>
      <w:pPr>
        <w:rPr>
          <w:rFonts w:hint="eastAsia"/>
          <w:lang w:val="en-US" w:eastAsia="zh-CN"/>
        </w:rPr>
      </w:pP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4组患者低密度脂蛋白的统计描述结果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324"/>
        <w:gridCol w:w="1704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084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</w:t>
            </w:r>
          </w:p>
        </w:tc>
        <w:tc>
          <w:tcPr>
            <w:tcW w:w="132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例数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均数</w:t>
            </w:r>
          </w:p>
        </w:tc>
        <w:tc>
          <w:tcPr>
            <w:tcW w:w="1705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tcBorders>
              <w:top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安慰剂组</w:t>
            </w:r>
          </w:p>
        </w:tc>
        <w:tc>
          <w:tcPr>
            <w:tcW w:w="132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3.43</w:t>
            </w:r>
          </w:p>
        </w:tc>
        <w:tc>
          <w:tcPr>
            <w:tcW w:w="1705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降血脂新药2.4g组</w:t>
            </w:r>
          </w:p>
        </w:tc>
        <w:tc>
          <w:tcPr>
            <w:tcW w:w="132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2.72</w:t>
            </w:r>
          </w:p>
        </w:tc>
        <w:tc>
          <w:tcPr>
            <w:tcW w:w="1705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降血脂新药4.8g组</w:t>
            </w:r>
          </w:p>
        </w:tc>
        <w:tc>
          <w:tcPr>
            <w:tcW w:w="132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2.70</w:t>
            </w:r>
          </w:p>
        </w:tc>
        <w:tc>
          <w:tcPr>
            <w:tcW w:w="1705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降血脂新药7.2g组</w:t>
            </w:r>
          </w:p>
        </w:tc>
        <w:tc>
          <w:tcPr>
            <w:tcW w:w="132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1.97</w:t>
            </w:r>
          </w:p>
        </w:tc>
        <w:tc>
          <w:tcPr>
            <w:tcW w:w="1705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32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2.70</w:t>
            </w:r>
          </w:p>
        </w:tc>
        <w:tc>
          <w:tcPr>
            <w:tcW w:w="1705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67835" cy="1482725"/>
            <wp:effectExtent l="0" t="0" r="184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Levene方差齐性检验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四组总体方差相等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至少两组总体方差不等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经计算L=1.622~F(3,116)，P=0.188&gt;0.10，按</w:t>
      </w: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=0.10水准不拒绝H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，姑且认为方差齐性。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完全随机设计方差分析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本资料属于完全随机设计资料，由于4个处理组患者的低密度脂蛋白均近似服从正态分布，且方差齐性，故考虑做完全随机设计方差分析。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四组总体均数相等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至少两组总体均数不等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4组患者低密度脂蛋白的方差分析表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03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3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变异来源</w:t>
            </w:r>
          </w:p>
        </w:tc>
        <w:tc>
          <w:tcPr>
            <w:tcW w:w="1103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</w:t>
            </w:r>
          </w:p>
        </w:tc>
        <w:tc>
          <w:tcPr>
            <w:tcW w:w="1419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组间</w:t>
            </w:r>
          </w:p>
        </w:tc>
        <w:tc>
          <w:tcPr>
            <w:tcW w:w="1103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31.94</w:t>
            </w:r>
          </w:p>
        </w:tc>
        <w:tc>
          <w:tcPr>
            <w:tcW w:w="1419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10.66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24.65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组内</w:t>
            </w:r>
          </w:p>
        </w:tc>
        <w:tc>
          <w:tcPr>
            <w:tcW w:w="1103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50.17</w:t>
            </w:r>
          </w:p>
        </w:tc>
        <w:tc>
          <w:tcPr>
            <w:tcW w:w="1419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103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82.11</w:t>
            </w:r>
          </w:p>
        </w:tc>
        <w:tc>
          <w:tcPr>
            <w:tcW w:w="1419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F=24.65~F(3,116)，P=2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-12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,认为至少两组总体均数不等。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均数间多重比较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LSD法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第一种结果展示方法：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用LSD法对4组患者低密度脂蛋白比较任两组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476"/>
        <w:gridCol w:w="5942"/>
        <w:gridCol w:w="110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比较的两组</w:t>
            </w:r>
          </w:p>
        </w:tc>
        <w:tc>
          <w:tcPr>
            <w:tcW w:w="6386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检验的统计量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2.4g</w:t>
            </w:r>
          </w:p>
        </w:tc>
        <w:tc>
          <w:tcPr>
            <w:tcW w:w="6386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3.43−2.72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0.71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=4.20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4.8g</w:t>
            </w:r>
          </w:p>
        </w:tc>
        <w:tc>
          <w:tcPr>
            <w:tcW w:w="63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3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3.43−2.70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0.73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=4.32</m:t>
                </m:r>
              </m:oMath>
            </m:oMathPara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7.2g</w:t>
            </w:r>
          </w:p>
        </w:tc>
        <w:tc>
          <w:tcPr>
            <w:tcW w:w="63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4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3.43−1.97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1.46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=8.64</m:t>
                </m:r>
              </m:oMath>
            </m:oMathPara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3.55</w:t>
            </w:r>
            <w:r>
              <w:rPr>
                <w:rFonts w:hint="default" w:ascii="Arial" w:hAnsi="Arial" w:cs="Arial"/>
                <w:lang w:val="en-US" w:eastAsia="zh-CN"/>
              </w:rPr>
              <w:t>×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2.4g, 4.8g</w:t>
            </w:r>
          </w:p>
        </w:tc>
        <w:tc>
          <w:tcPr>
            <w:tcW w:w="63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3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2.72−2.70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0.02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=0.12</m:t>
                </m:r>
              </m:oMath>
            </m:oMathPara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2.4g, 7.2g</w:t>
            </w:r>
          </w:p>
        </w:tc>
        <w:tc>
          <w:tcPr>
            <w:tcW w:w="63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4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2.72−1.97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0.75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=4.44</m:t>
                </m:r>
              </m:oMath>
            </m:oMathPara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4.8g, 7.2g</w:t>
            </w:r>
          </w:p>
        </w:tc>
        <w:tc>
          <w:tcPr>
            <w:tcW w:w="63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组内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3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4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2.70−1.97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30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0.73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0.169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=4.20</m:t>
                </m:r>
              </m:oMath>
            </m:oMathPara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*在H0假定下，所有t值均服从自由度116的t分布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由上表可见，除降血脂新药2.4g组与4.8g组的总体均数无不同之外，其余任两组的总体均数都不同。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第二种结果展示方法：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1）安慰剂组与降血脂新药2.4g组的比较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3.43−2.72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=4.20~t(116)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P=0.00005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2）安慰剂组与降血脂新药4.8g组的比较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3.43−2.70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=4.32~t(116)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P=0.000033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3）安慰剂组与降血脂新药7.2g组的比较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1.46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=8.64~t(116)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P=3.55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-14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4）降血脂新药2.4g组与4.8g组的比较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2.72−2.70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0.02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=0.12~t(116)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P=0.9&gt;</w:t>
      </w:r>
      <w:r>
        <w:rPr>
          <w:rFonts w:hint="eastAsia"/>
          <w:lang w:val="en-US" w:eastAsia="zh-CN"/>
        </w:rPr>
        <w:t>0.05，按0.05水准不拒绝H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，不认为两组总体均数不等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5）降血脂新药2.4g组与7.2g组的比较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2.72−1.97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0.75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=4.44~t(116)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P=0.00002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6）降血脂新药4.8g组与7.2g组的比较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2.70−1.97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=4.20~t(116)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P=0.00003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Bonferroni法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第一种结果展示方法：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用Bonferroni法对4组患者低密度脂蛋白比较任两组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266"/>
        <w:gridCol w:w="2106"/>
        <w:gridCol w:w="1389"/>
        <w:gridCol w:w="1015"/>
        <w:gridCol w:w="10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比较的两组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两均数之差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两均数之差的标准误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检验统计量t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P值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校正P值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2.4g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0.71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4.20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0.000050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4.8g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0.73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4.32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0.000033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0.000197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安慰剂, 7.2g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1.46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8.64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2.4g, 4.8g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0.02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0.900000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2.4g, 7.2g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0.75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4.44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0.000020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0.000120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4.8g, 7.2g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0.73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m:rPr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0.169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4.20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0.000030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0.000180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*在H0假定下，所有t值均服从自由度116的t分布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由上表可见，除降血脂新药2.4g组与4.8g组的总体均数无不同之外，其余任两组的总体均数都不同。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第二种结果展示方法：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1）安慰剂组与降血脂新药2.4g组的比较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3.43−2.72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=4.20~t(116)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P=0.00005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6=0.0003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2）安慰剂组与降血脂新药4.8g组的比较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3.43−2.70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=4.32~t(116)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P=0.000033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6=0.000197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3）安慰剂组与降血脂新药7.2g组的比较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3.43−1.97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1.46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=8.64~t(116)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P=3.55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-14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6=2.13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-13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4）降血脂新药2.4g组与4.8g组的比较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2.72−2.70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0.02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=0.12~t(116)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P=1.000&gt;</w:t>
      </w:r>
      <w:r>
        <w:rPr>
          <w:rFonts w:hint="eastAsia"/>
          <w:lang w:val="en-US" w:eastAsia="zh-CN"/>
        </w:rPr>
        <w:t>0.05，按0.05水准不拒绝H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，不认为两组总体均数不等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5）降血脂新药2.4g组与7.2g组的比较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2.72−1.97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0.75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=4.44~t(116)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P=0.00002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6=0.00012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6）降血脂新药4.8g组与7.2g组的比较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MS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组内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2.70−1.97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0.73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0.169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=4.20~t(116)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P=0.00003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6=0.00018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SNK法</w:t>
      </w:r>
    </w:p>
    <w:p>
      <w:pPr>
        <w:rPr>
          <w:rFonts w:hint="eastAsia"/>
          <w:lang w:val="en-US" w:eastAsia="zh-CN"/>
        </w:rPr>
      </w:pPr>
    </w:p>
    <w:p>
      <w:pPr>
        <w:ind w:firstLine="2520" w:firstLine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4组样本均数由小到大排列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704"/>
        <w:gridCol w:w="1704"/>
        <w:gridCol w:w="170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084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排列顺序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原组号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降血脂新药7.2g组</w:t>
            </w:r>
          </w:p>
        </w:tc>
        <w:tc>
          <w:tcPr>
            <w:tcW w:w="170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降血脂新药4.8g组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降血脂新药2.4g组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安慰剂组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3570" w:firstLineChars="1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SNK法两两比较的计算用表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631"/>
        <w:gridCol w:w="1631"/>
        <w:gridCol w:w="1631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95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对比组排列顺序</w:t>
            </w:r>
          </w:p>
        </w:tc>
        <w:tc>
          <w:tcPr>
            <w:tcW w:w="1631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组间跨度</w:t>
            </w:r>
          </w:p>
        </w:tc>
        <w:tc>
          <w:tcPr>
            <w:tcW w:w="1631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均数之差</w:t>
            </w:r>
          </w:p>
        </w:tc>
        <w:tc>
          <w:tcPr>
            <w:tcW w:w="1631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q值</w:t>
            </w:r>
          </w:p>
        </w:tc>
        <w:tc>
          <w:tcPr>
            <w:tcW w:w="1631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(1):(4)</w:t>
            </w:r>
          </w:p>
        </w:tc>
        <w:tc>
          <w:tcPr>
            <w:tcW w:w="1631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31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1.464</w:t>
            </w:r>
          </w:p>
        </w:tc>
        <w:tc>
          <w:tcPr>
            <w:tcW w:w="1631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631" w:type="dxa"/>
            <w:tcBorders>
              <w:top w:val="single" w:color="auto" w:sz="4" w:space="0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(1):(3)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0.749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6.25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(1):(2)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0.732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6.11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(2):(4)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0.732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6.11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(2):(3)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0.017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(3):(4)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0.715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5.97</w:t>
            </w:r>
          </w:p>
        </w:tc>
        <w:tc>
          <w:tcPr>
            <w:tcW w:w="1631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202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例如：降血脂新药7.2g组与安慰剂组的比较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: 两组总体均数相等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 两组总体均数不等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Symbol" w:char="0061"/>
      </w:r>
      <w:r>
        <w:rPr>
          <w:rFonts w:hint="eastAsia"/>
          <w:lang w:val="en-US" w:eastAsia="zh-CN"/>
        </w:rPr>
        <w:t>=0.05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MS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组内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|3.43−1.97|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0.43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30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1.464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0.120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=12.2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跨度4，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ν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=116，P=2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-13</w:t>
      </w:r>
      <w:r>
        <w:rPr>
          <w:rFonts w:hint="eastAsia"/>
          <w:lang w:val="en-US" w:eastAsia="zh-CN"/>
        </w:rPr>
        <w:t>&lt;0.05，按0.05水准拒绝H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,接受H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,认为两组总体均数不等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6DFF2"/>
    <w:multiLevelType w:val="singleLevel"/>
    <w:tmpl w:val="0956DF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4B0E95"/>
    <w:multiLevelType w:val="singleLevel"/>
    <w:tmpl w:val="464B0E9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zRhNWZjZTkxMDFhMGQxNDViYmUzNjBiMTk5ZGYifQ=="/>
  </w:docVars>
  <w:rsids>
    <w:rsidRoot w:val="00172A27"/>
    <w:rsid w:val="0DCE1836"/>
    <w:rsid w:val="26196A0E"/>
    <w:rsid w:val="26E72CF4"/>
    <w:rsid w:val="59D22C73"/>
    <w:rsid w:val="66DC4CA1"/>
    <w:rsid w:val="6BA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1694</Words>
  <Characters>3903</Characters>
  <Lines>0</Lines>
  <Paragraphs>0</Paragraphs>
  <TotalTime>7</TotalTime>
  <ScaleCrop>false</ScaleCrop>
  <LinksUpToDate>false</LinksUpToDate>
  <CharactersWithSpaces>3945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2022-10-28T06:28:00Z</dcterms:created>
  <dc:creator>易多多爸</dc:creator>
  <cp:lastModifiedBy>yiwei</cp:lastModifiedBy>
  <dcterms:modified xsi:type="dcterms:W3CDTF">2022-10-29T02:01:15Z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8978384F825C4434BE96E7E158979461</vt:lpwstr>
  </property>
</Properties>
</file>