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Band-Gap Machine Learning: A Six-Dataset Report</w:t>
      </w:r>
    </w:p>
    <w:p>
      <w:pPr>
        <w:jc w:val="center"/>
      </w:pPr>
      <w:r>
        <w:rPr>
          <w:i/>
        </w:rPr>
        <w:t>University of Missouri — Evan Research Group</w:t>
      </w:r>
    </w:p>
    <w:p>
      <w:pPr>
        <w:pStyle w:val="Heading1"/>
      </w:pPr>
      <w:r>
        <w:t>1. Overview</w:t>
      </w:r>
    </w:p>
    <w:p>
      <w:r>
        <w:t>We study six public datasets of inorganic band gaps, spanning three orders of magnitude in size (1.3k–106k materials), the full range of zero-inflation (0–96% metals), and several target types (PBE, GLLB-SC, experimental, and a fitted surrogate). All models use Magpie composition descriptors plus each dataset's native numeric columns, with gradient-boosted trees (XGBoost).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Non-zero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Gap range eV (nz median)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Expt gap</w:t>
            </w:r>
          </w:p>
        </w:tc>
        <w:tc>
          <w:tcPr>
            <w:tcW w:type="dxa" w:w="1440"/>
          </w:tcPr>
          <w:p>
            <w:r>
              <w:t>6,354</w:t>
            </w:r>
          </w:p>
        </w:tc>
        <w:tc>
          <w:tcPr>
            <w:tcW w:type="dxa" w:w="1440"/>
          </w:tcPr>
          <w:p>
            <w:r>
              <w:t>gap expt (experimental)</w:t>
            </w:r>
          </w:p>
        </w:tc>
        <w:tc>
          <w:tcPr>
            <w:tcW w:type="dxa" w:w="1440"/>
          </w:tcPr>
          <w:p>
            <w:r>
              <w:t>61.3%</w:t>
            </w:r>
          </w:p>
        </w:tc>
        <w:tc>
          <w:tcPr>
            <w:tcW w:type="dxa" w:w="1440"/>
          </w:tcPr>
          <w:p>
            <w:r>
              <w:t>0.02–11.70 (1.83)</w:t>
            </w:r>
          </w:p>
        </w:tc>
        <w:tc>
          <w:tcPr>
            <w:tcW w:type="dxa" w:w="1440"/>
          </w:tcPr>
          <w:p>
            <w:r>
              <w:t>composition-only; solid solutions present</w:t>
            </w:r>
          </w:p>
        </w:tc>
      </w:tr>
      <w:tr>
        <w:tc>
          <w:tcPr>
            <w:tcW w:type="dxa" w:w="1440"/>
          </w:tcPr>
          <w:p>
            <w:r>
              <w:t>MP gap</w:t>
            </w:r>
          </w:p>
        </w:tc>
        <w:tc>
          <w:tcPr>
            <w:tcW w:type="dxa" w:w="1440"/>
          </w:tcPr>
          <w:p>
            <w:r>
              <w:t>106,113</w:t>
            </w:r>
          </w:p>
        </w:tc>
        <w:tc>
          <w:tcPr>
            <w:tcW w:type="dxa" w:w="1440"/>
          </w:tcPr>
          <w:p>
            <w:r>
              <w:t>gap pbe (PBE)</w:t>
            </w:r>
          </w:p>
        </w:tc>
        <w:tc>
          <w:tcPr>
            <w:tcW w:type="dxa" w:w="1440"/>
          </w:tcPr>
          <w:p>
            <w:r>
              <w:t>56.5%</w:t>
            </w:r>
          </w:p>
        </w:tc>
        <w:tc>
          <w:tcPr>
            <w:tcW w:type="dxa" w:w="1440"/>
          </w:tcPr>
          <w:p>
            <w:r>
              <w:t>0.02–9.72 (1.95)</w:t>
            </w:r>
          </w:p>
        </w:tc>
        <w:tc>
          <w:tcPr>
            <w:tcW w:type="dxa" w:w="1440"/>
          </w:tcPr>
          <w:p>
            <w:r>
              <w:t>Materials Project; composition from structures</w:t>
            </w:r>
          </w:p>
        </w:tc>
      </w:tr>
      <w:tr>
        <w:tc>
          <w:tcPr>
            <w:tcW w:type="dxa" w:w="1440"/>
          </w:tcPr>
          <w:p>
            <w:r>
              <w:t>Wolverton oxides</w:t>
            </w:r>
          </w:p>
        </w:tc>
        <w:tc>
          <w:tcPr>
            <w:tcW w:type="dxa" w:w="1440"/>
          </w:tcPr>
          <w:p>
            <w:r>
              <w:t>4,914</w:t>
            </w:r>
          </w:p>
        </w:tc>
        <w:tc>
          <w:tcPr>
            <w:tcW w:type="dxa" w:w="1440"/>
          </w:tcPr>
          <w:p>
            <w:r>
              <w:t>gap pbe (PBE)</w:t>
            </w:r>
          </w:p>
        </w:tc>
        <w:tc>
          <w:tcPr>
            <w:tcW w:type="dxa" w:w="1440"/>
          </w:tcPr>
          <w:p>
            <w:r>
              <w:t>20.8%</w:t>
            </w:r>
          </w:p>
        </w:tc>
        <w:tc>
          <w:tcPr>
            <w:tcW w:type="dxa" w:w="1440"/>
          </w:tcPr>
          <w:p>
            <w:r>
              <w:t>0.19–6.22 (1.45)</w:t>
            </w:r>
          </w:p>
        </w:tc>
        <w:tc>
          <w:tcPr>
            <w:tcW w:type="dxa" w:w="1440"/>
          </w:tcPr>
          <w:p>
            <w:r>
              <w:t>ABO3; structural + energetic features</w:t>
            </w:r>
          </w:p>
        </w:tc>
      </w:tr>
      <w:tr>
        <w:tc>
          <w:tcPr>
            <w:tcW w:type="dxa" w:w="1440"/>
          </w:tcPr>
          <w:p>
            <w:r>
              <w:t>Castelli</w:t>
            </w:r>
          </w:p>
        </w:tc>
        <w:tc>
          <w:tcPr>
            <w:tcW w:type="dxa" w:w="1440"/>
          </w:tcPr>
          <w:p>
            <w:r>
              <w:t>18,928</w:t>
            </w:r>
          </w:p>
        </w:tc>
        <w:tc>
          <w:tcPr>
            <w:tcW w:type="dxa" w:w="1440"/>
          </w:tcPr>
          <w:p>
            <w:r>
              <w:t>gap gllbsc (GLLB-SC)</w:t>
            </w:r>
          </w:p>
        </w:tc>
        <w:tc>
          <w:tcPr>
            <w:tcW w:type="dxa" w:w="1440"/>
          </w:tcPr>
          <w:p>
            <w:r>
              <w:t>3.9%</w:t>
            </w:r>
          </w:p>
        </w:tc>
        <w:tc>
          <w:tcPr>
            <w:tcW w:type="dxa" w:w="1440"/>
          </w:tcPr>
          <w:p>
            <w:r>
              <w:t>0.20–7.00 (1.40)</w:t>
            </w:r>
          </w:p>
        </w:tc>
        <w:tc>
          <w:tcPr>
            <w:tcW w:type="dxa" w:w="1440"/>
          </w:tcPr>
          <w:p>
            <w:r>
              <w:t>cubic perovskites; electronic features</w:t>
            </w:r>
          </w:p>
        </w:tc>
      </w:tr>
      <w:tr>
        <w:tc>
          <w:tcPr>
            <w:tcW w:type="dxa" w:w="1440"/>
          </w:tcPr>
          <w:p>
            <w:r>
              <w:t>Double perovskites</w:t>
            </w:r>
          </w:p>
        </w:tc>
        <w:tc>
          <w:tcPr>
            <w:tcW w:type="dxa" w:w="1440"/>
          </w:tcPr>
          <w:p>
            <w:r>
              <w:t>1,306</w:t>
            </w:r>
          </w:p>
        </w:tc>
        <w:tc>
          <w:tcPr>
            <w:tcW w:type="dxa" w:w="1440"/>
          </w:tcPr>
          <w:p>
            <w:r>
              <w:t>gap gllbsc (GLLB-SC)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0.11–8.34 (4.07)</w:t>
            </w:r>
          </w:p>
        </w:tc>
        <w:tc>
          <w:tcPr>
            <w:tcW w:type="dxa" w:w="1440"/>
          </w:tcPr>
          <w:p>
            <w:r>
              <w:t>A2BB'O6; no zero gaps</w:t>
            </w:r>
          </w:p>
        </w:tc>
      </w:tr>
      <w:tr>
        <w:tc>
          <w:tcPr>
            <w:tcW w:type="dxa" w:w="1440"/>
          </w:tcPr>
          <w:p>
            <w:r>
              <w:t>Tol-screened</w:t>
            </w:r>
          </w:p>
        </w:tc>
        <w:tc>
          <w:tcPr>
            <w:tcW w:type="dxa" w:w="1440"/>
          </w:tcPr>
          <w:p>
            <w:r>
              <w:t>67,916</w:t>
            </w:r>
          </w:p>
        </w:tc>
        <w:tc>
          <w:tcPr>
            <w:tcW w:type="dxa" w:w="1440"/>
          </w:tcPr>
          <w:p>
            <w:r>
              <w:t>Band gap(HSE-mf1)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0.88–6.52 (3.36)</w:t>
            </w:r>
          </w:p>
        </w:tc>
        <w:tc>
          <w:tcPr>
            <w:tcW w:type="dxa" w:w="1440"/>
          </w:tcPr>
          <w:p>
            <w:r>
              <w:t>solid-solution grid; surrogate target; no zeros</w:t>
            </w:r>
          </w:p>
        </w:tc>
      </w:tr>
    </w:tbl>
    <w:p>
      <w:pPr>
        <w:pStyle w:val="Heading1"/>
      </w:pPr>
      <w:r>
        <w:t>2. Key cross-dataset findings</w:t>
      </w:r>
    </w:p>
    <w:p>
      <w:pPr>
        <w:pStyle w:val="Heading2"/>
      </w:pPr>
      <w:r>
        <w:t>2.1 Aggregate accuracy hides poor regression on semiconductors</w:t>
      </w:r>
    </w:p>
    <w:p>
      <w:r>
        <w:t>Because band-gap datasets are zero-inflated (most candidates are metals), a single regressor earns a high aggregate accuracy dominated by trivially-correct metals while doing poorly on the materials that actually have a gap. Reporting non-zero-material MAE exposes this. On Castelli, aggregate accuracy is 0.93 while the non-zero MAE is ~1 eV.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Dataset (single-stage baseline)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Aggregate acc &lt;0.07 eV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Non-zero acc &lt;0.07 eV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Non-zero MAE (eV)</w:t>
            </w:r>
          </w:p>
        </w:tc>
      </w:tr>
      <w:tr>
        <w:tc>
          <w:tcPr>
            <w:tcW w:type="dxa" w:w="2160"/>
          </w:tcPr>
          <w:p>
            <w:r>
              <w:t>Expt gap</w:t>
            </w:r>
          </w:p>
        </w:tc>
        <w:tc>
          <w:tcPr>
            <w:tcW w:type="dxa" w:w="2160"/>
          </w:tcPr>
          <w:p>
            <w:r>
              <w:t>0.317</w:t>
            </w:r>
          </w:p>
        </w:tc>
        <w:tc>
          <w:tcPr>
            <w:tcW w:type="dxa" w:w="2160"/>
          </w:tcPr>
          <w:p>
            <w:r>
              <w:t>0.220</w:t>
            </w:r>
          </w:p>
        </w:tc>
        <w:tc>
          <w:tcPr>
            <w:tcW w:type="dxa" w:w="2160"/>
          </w:tcPr>
          <w:p>
            <w:r>
              <w:t>0.356</w:t>
            </w:r>
          </w:p>
        </w:tc>
      </w:tr>
      <w:tr>
        <w:tc>
          <w:tcPr>
            <w:tcW w:type="dxa" w:w="2160"/>
          </w:tcPr>
          <w:p>
            <w:r>
              <w:t>MP gap (106k)</w:t>
            </w:r>
          </w:p>
        </w:tc>
        <w:tc>
          <w:tcPr>
            <w:tcW w:type="dxa" w:w="2160"/>
          </w:tcPr>
          <w:p>
            <w:r>
              <w:t>0.313</w:t>
            </w:r>
          </w:p>
        </w:tc>
        <w:tc>
          <w:tcPr>
            <w:tcW w:type="dxa" w:w="2160"/>
          </w:tcPr>
          <w:p>
            <w:r>
              <w:t>0.093</w:t>
            </w:r>
          </w:p>
        </w:tc>
        <w:tc>
          <w:tcPr>
            <w:tcW w:type="dxa" w:w="2160"/>
          </w:tcPr>
          <w:p>
            <w:r>
              <w:t>0.601</w:t>
            </w:r>
          </w:p>
        </w:tc>
      </w:tr>
      <w:tr>
        <w:tc>
          <w:tcPr>
            <w:tcW w:type="dxa" w:w="2160"/>
          </w:tcPr>
          <w:p>
            <w:r>
              <w:t>Wolverton</w:t>
            </w:r>
          </w:p>
        </w:tc>
        <w:tc>
          <w:tcPr>
            <w:tcW w:type="dxa" w:w="2160"/>
          </w:tcPr>
          <w:p>
            <w:r>
              <w:t>0.656</w:t>
            </w:r>
          </w:p>
        </w:tc>
        <w:tc>
          <w:tcPr>
            <w:tcW w:type="dxa" w:w="2160"/>
          </w:tcPr>
          <w:p>
            <w:r>
              <w:t>0.204</w:t>
            </w:r>
          </w:p>
        </w:tc>
        <w:tc>
          <w:tcPr>
            <w:tcW w:type="dxa" w:w="2160"/>
          </w:tcPr>
          <w:p>
            <w:r>
              <w:t>0.435</w:t>
            </w:r>
          </w:p>
        </w:tc>
      </w:tr>
      <w:tr>
        <w:tc>
          <w:tcPr>
            <w:tcW w:type="dxa" w:w="2160"/>
          </w:tcPr>
          <w:p>
            <w:r>
              <w:t>Castelli</w:t>
            </w:r>
          </w:p>
        </w:tc>
        <w:tc>
          <w:tcPr>
            <w:tcW w:type="dxa" w:w="2160"/>
          </w:tcPr>
          <w:p>
            <w:r>
              <w:t>0.925</w:t>
            </w:r>
          </w:p>
        </w:tc>
        <w:tc>
          <w:tcPr>
            <w:tcW w:type="dxa" w:w="2160"/>
          </w:tcPr>
          <w:p>
            <w:r>
              <w:t>0.038</w:t>
            </w:r>
          </w:p>
        </w:tc>
        <w:tc>
          <w:tcPr>
            <w:tcW w:type="dxa" w:w="2160"/>
          </w:tcPr>
          <w:p>
            <w:r>
              <w:t>1.013</w:t>
            </w:r>
          </w:p>
        </w:tc>
      </w:tr>
    </w:tbl>
    <w:p>
      <w:pPr>
        <w:pStyle w:val="Heading2"/>
      </w:pPr>
      <w:r>
        <w:t>2.2 A two-stage model, and an honest decomposition</w:t>
      </w:r>
    </w:p>
    <w:p>
      <w:r>
        <w:t>A metal/non-metal classifier gating a regressor trained only on non-zero-gap materials (log target) lowers non-zero MAE by 23–42% end-to-end. But a leak-free nested cross-validation that holds features constant shows most of that gain comes from the richer features, not the two-stage structure. The pure method effect is modest where rich descriptors exist (Wolverton −4.8%, n.s.; Castelli −8.6%, p=0.007) but substantial on composition-only data (expt_gap −14.7%, p=1e-5; MP gap −7.8%, all folds).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Single-stage 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Two-stage 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 effect</w:t>
            </w:r>
          </w:p>
        </w:tc>
      </w:tr>
      <w:tr>
        <w:tc>
          <w:tcPr>
            <w:tcW w:type="dxa" w:w="2160"/>
          </w:tcPr>
          <w:p>
            <w:r>
              <w:t>Expt gap (composition-only)</w:t>
            </w:r>
          </w:p>
        </w:tc>
        <w:tc>
          <w:tcPr>
            <w:tcW w:type="dxa" w:w="2160"/>
          </w:tcPr>
          <w:p>
            <w:r>
              <w:t>0.356</w:t>
            </w:r>
          </w:p>
        </w:tc>
        <w:tc>
          <w:tcPr>
            <w:tcW w:type="dxa" w:w="2160"/>
          </w:tcPr>
          <w:p>
            <w:r>
              <w:t>0.304</w:t>
            </w:r>
          </w:p>
        </w:tc>
        <w:tc>
          <w:tcPr>
            <w:tcW w:type="dxa" w:w="2160"/>
          </w:tcPr>
          <w:p>
            <w:r>
              <w:t>−14.7% (p=1e-5)</w:t>
            </w:r>
          </w:p>
        </w:tc>
      </w:tr>
      <w:tr>
        <w:tc>
          <w:tcPr>
            <w:tcW w:type="dxa" w:w="2160"/>
          </w:tcPr>
          <w:p>
            <w:r>
              <w:t>MP gap (106k)</w:t>
            </w:r>
          </w:p>
        </w:tc>
        <w:tc>
          <w:tcPr>
            <w:tcW w:type="dxa" w:w="2160"/>
          </w:tcPr>
          <w:p>
            <w:r>
              <w:t>0.601</w:t>
            </w:r>
          </w:p>
        </w:tc>
        <w:tc>
          <w:tcPr>
            <w:tcW w:type="dxa" w:w="2160"/>
          </w:tcPr>
          <w:p>
            <w:r>
              <w:t>0.554</w:t>
            </w:r>
          </w:p>
        </w:tc>
        <w:tc>
          <w:tcPr>
            <w:tcW w:type="dxa" w:w="2160"/>
          </w:tcPr>
          <w:p>
            <w:r>
              <w:t>−7.8% (all folds)</w:t>
            </w:r>
          </w:p>
        </w:tc>
      </w:tr>
      <w:tr>
        <w:tc>
          <w:tcPr>
            <w:tcW w:type="dxa" w:w="2160"/>
          </w:tcPr>
          <w:p>
            <w:r>
              <w:t>Wolverton</w:t>
            </w:r>
          </w:p>
        </w:tc>
        <w:tc>
          <w:tcPr>
            <w:tcW w:type="dxa" w:w="2160"/>
          </w:tcPr>
          <w:p>
            <w:r>
              <w:t>0.364</w:t>
            </w:r>
          </w:p>
        </w:tc>
        <w:tc>
          <w:tcPr>
            <w:tcW w:type="dxa" w:w="2160"/>
          </w:tcPr>
          <w:p>
            <w:r>
              <w:t>0.347</w:t>
            </w:r>
          </w:p>
        </w:tc>
        <w:tc>
          <w:tcPr>
            <w:tcW w:type="dxa" w:w="2160"/>
          </w:tcPr>
          <w:p>
            <w:r>
              <w:t>−4.8% (n.s.)</w:t>
            </w:r>
          </w:p>
        </w:tc>
      </w:tr>
      <w:tr>
        <w:tc>
          <w:tcPr>
            <w:tcW w:type="dxa" w:w="2160"/>
          </w:tcPr>
          <w:p>
            <w:r>
              <w:t>Castelli</w:t>
            </w:r>
          </w:p>
        </w:tc>
        <w:tc>
          <w:tcPr>
            <w:tcW w:type="dxa" w:w="2160"/>
          </w:tcPr>
          <w:p>
            <w:r>
              <w:t>0.651</w:t>
            </w:r>
          </w:p>
        </w:tc>
        <w:tc>
          <w:tcPr>
            <w:tcW w:type="dxa" w:w="2160"/>
          </w:tcPr>
          <w:p>
            <w:r>
              <w:t>0.595</w:t>
            </w:r>
          </w:p>
        </w:tc>
        <w:tc>
          <w:tcPr>
            <w:tcW w:type="dxa" w:w="2160"/>
          </w:tcPr>
          <w:p>
            <w:r>
              <w:t>−8.6% (p=0.007)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627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2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SHAP feature importance per dataset. Energetic descriptors dominate Wolverton (51% of total importance); electronegativity statistics drive the experimental set.</w:t>
      </w:r>
    </w:p>
    <w:p>
      <w:pPr>
        <w:pStyle w:val="Heading2"/>
      </w:pPr>
      <w:r>
        <w:t>2.3 Random-split optimism is concentrated on solid-solution datasets</w:t>
      </w:r>
    </w:p>
    <w:p>
      <w:r>
        <w:t>Random train/test splits can place near-identical compositions on both sides, overstating generalization. The size of this effect is dataset-dependent. A simple redundancy count does NOT predict it (Pearson r=0.54, n.s.) — Castelli has 49% repeated compositions yet no optimism. The factor that does separate the datasets is the share of solid-solution (fractional) compositions, which let the model interpolate within a continuous composition family. Optimism is large only on those sets (Tol 99.8% fractional, expt_gap 21.5%) and negligible on collections of distinct compounds; the solid-solution share tracks optimism with Spearman 0.90.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Solid-solution share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Optimism (by-chemistry / random MAE)</w:t>
            </w:r>
          </w:p>
        </w:tc>
      </w:tr>
      <w:tr>
        <w:tc>
          <w:tcPr>
            <w:tcW w:type="dxa" w:w="2880"/>
          </w:tcPr>
          <w:p>
            <w:r>
              <w:t>Tol-screened</w:t>
            </w:r>
          </w:p>
        </w:tc>
        <w:tc>
          <w:tcPr>
            <w:tcW w:type="dxa" w:w="2880"/>
          </w:tcPr>
          <w:p>
            <w:r>
              <w:t>99.8%</w:t>
            </w:r>
          </w:p>
        </w:tc>
        <w:tc>
          <w:tcPr>
            <w:tcW w:type="dxa" w:w="2880"/>
          </w:tcPr>
          <w:p>
            <w:r>
              <w:t>1.64×</w:t>
            </w:r>
          </w:p>
        </w:tc>
      </w:tr>
      <w:tr>
        <w:tc>
          <w:tcPr>
            <w:tcW w:type="dxa" w:w="2880"/>
          </w:tcPr>
          <w:p>
            <w:r>
              <w:t>Expt gap</w:t>
            </w:r>
          </w:p>
        </w:tc>
        <w:tc>
          <w:tcPr>
            <w:tcW w:type="dxa" w:w="2880"/>
          </w:tcPr>
          <w:p>
            <w:r>
              <w:t>21.5%</w:t>
            </w:r>
          </w:p>
        </w:tc>
        <w:tc>
          <w:tcPr>
            <w:tcW w:type="dxa" w:w="2880"/>
          </w:tcPr>
          <w:p>
            <w:r>
              <w:t>1.55×</w:t>
            </w:r>
          </w:p>
        </w:tc>
      </w:tr>
      <w:tr>
        <w:tc>
          <w:tcPr>
            <w:tcW w:type="dxa" w:w="2880"/>
          </w:tcPr>
          <w:p>
            <w:r>
              <w:t>MP gap (106k)</w:t>
            </w:r>
          </w:p>
        </w:tc>
        <w:tc>
          <w:tcPr>
            <w:tcW w:type="dxa" w:w="2880"/>
          </w:tcPr>
          <w:p>
            <w:r>
              <w:t>~0% (polymorph duplicates)</w:t>
            </w:r>
          </w:p>
        </w:tc>
        <w:tc>
          <w:tcPr>
            <w:tcW w:type="dxa" w:w="2880"/>
          </w:tcPr>
          <w:p>
            <w:r>
              <w:t>1.14×</w:t>
            </w:r>
          </w:p>
        </w:tc>
      </w:tr>
      <w:tr>
        <w:tc>
          <w:tcPr>
            <w:tcW w:type="dxa" w:w="2880"/>
          </w:tcPr>
          <w:p>
            <w:r>
              <w:t>Wolverton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  <w:tc>
          <w:tcPr>
            <w:tcW w:type="dxa" w:w="2880"/>
          </w:tcPr>
          <w:p>
            <w:r>
              <w:t>1.02×</w:t>
            </w:r>
          </w:p>
        </w:tc>
      </w:tr>
      <w:tr>
        <w:tc>
          <w:tcPr>
            <w:tcW w:type="dxa" w:w="2880"/>
          </w:tcPr>
          <w:p>
            <w:r>
              <w:t>Castelli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  <w:tc>
          <w:tcPr>
            <w:tcW w:type="dxa" w:w="2880"/>
          </w:tcPr>
          <w:p>
            <w:r>
              <w:t>1.00×</w:t>
            </w:r>
          </w:p>
        </w:tc>
      </w:tr>
      <w:tr>
        <w:tc>
          <w:tcPr>
            <w:tcW w:type="dxa" w:w="2880"/>
          </w:tcPr>
          <w:p>
            <w:r>
              <w:t>Double perovskites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1.01×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16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ization_spli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MAE under leakage-controlled splits, relative to a random split, for all six datasets. Optimism is large on the solid-solution sets, mild on MP gap, negligible elsewhere.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09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undancy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Random-split optimism vs. solid-solution share (Spearman 0.90). A simple redundancy count does not predict optimism (r=0.54, n.s.).</w:t>
      </w:r>
    </w:p>
    <w:p>
      <w:pPr>
        <w:pStyle w:val="Heading2"/>
      </w:pPr>
      <w:r>
        <w:t>2.4 Data-limited, and the no-zero datasets</w:t>
      </w:r>
    </w:p>
    <w:p>
      <w:r>
        <w:t>Learning curves show Castelli and expt_gap are still improving at full training size — data-limited, not algorithm-limited. The two no-zero datasets (Double perovskites, Tol) need no two-stage gating: Tol's surrogate target is nearly deterministic (R²≈0.9998, MAE 0.015 eV) and even survives chemistry-extrapolation at R²≈0.999, while the double-perovskite set (1,306 distinct compounds) regresses to MAE ≈ 0.25 eV with no split optimism.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24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2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Learning curves. Neither data-limited dataset has plateaued at full size.</w:t>
      </w:r>
    </w:p>
    <w:p>
      <w:pPr>
        <w:pStyle w:val="Heading1"/>
      </w:pPr>
      <w:r>
        <w:t>3. Takeaways</w:t>
      </w:r>
    </w:p>
    <w:p>
      <w:pPr>
        <w:pStyle w:val="ListBullet"/>
      </w:pPr>
      <w:r>
        <w:t>Report non-zero-material MAE alongside aggregate accuracy on zero-inflated band-gap data; aggregate accuracy is dominated by metals and is misleading.</w:t>
      </w:r>
    </w:p>
    <w:p>
      <w:pPr>
        <w:pStyle w:val="ListBullet"/>
      </w:pPr>
      <w:r>
        <w:t>The two-stage classify-then-regress model helps most when only composition features are available; with rich structural/energetic features, the features carry most of the gain.</w:t>
      </w:r>
    </w:p>
    <w:p>
      <w:pPr>
        <w:pStyle w:val="ListBullet"/>
      </w:pPr>
      <w:r>
        <w:t>Run a grouped (by-chemistry) split as a cheap diagnostic — it matters most for datasets containing solid solutions (alloys, mixed-site screening grids).</w:t>
      </w:r>
    </w:p>
    <w:p>
      <w:pPr>
        <w:pStyle w:val="ListBullet"/>
      </w:pPr>
      <w:r>
        <w:t>Energetic descriptors (formation/hull energy) are the single most informative feature group for the oxide gaps; electronegativity statistics drive the experimental set.</w:t>
      </w:r>
    </w:p>
    <w:p/>
    <w:p>
      <w:r>
        <w:rPr>
          <w:i/>
        </w:rPr>
        <w:t>Generated from the analysis scripts in scripts/ (see reproduce_all.py). All numbers are 5–10-fold cross-validated unless noted.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