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4F211" w14:textId="77777777" w:rsidR="00F57E8D" w:rsidRPr="00CA1183" w:rsidRDefault="00B36414" w:rsidP="00B36414">
      <w:pPr>
        <w:pStyle w:val="NoSpacing"/>
        <w:jc w:val="center"/>
        <w:rPr>
          <w:b/>
          <w:sz w:val="28"/>
        </w:rPr>
      </w:pPr>
      <w:r w:rsidRPr="00CA1183">
        <w:rPr>
          <w:b/>
          <w:sz w:val="28"/>
        </w:rPr>
        <w:t>User Manual for Bayesian BMD Analysis System</w:t>
      </w:r>
    </w:p>
    <w:p w14:paraId="5467696A" w14:textId="77777777" w:rsidR="00B36414" w:rsidRDefault="00B36414" w:rsidP="00B36414">
      <w:pPr>
        <w:pStyle w:val="NoSpacing"/>
        <w:jc w:val="center"/>
      </w:pPr>
      <w:r>
        <w:t>Version</w:t>
      </w:r>
      <w:r w:rsidR="00CA1183">
        <w:t xml:space="preserve"> </w:t>
      </w:r>
      <w:r w:rsidR="002D0554">
        <w:t>1.0.0.2 (2016.03.14</w:t>
      </w:r>
      <w:r w:rsidR="00B328B6">
        <w:t>)</w:t>
      </w:r>
    </w:p>
    <w:p w14:paraId="1E43EF70" w14:textId="77777777" w:rsidR="00B36414" w:rsidRDefault="00B36414" w:rsidP="00B36414">
      <w:pPr>
        <w:pStyle w:val="NoSpacing"/>
      </w:pPr>
    </w:p>
    <w:p w14:paraId="2F454CB1" w14:textId="77777777" w:rsidR="006B173C" w:rsidRDefault="006B173C" w:rsidP="00B36414">
      <w:pPr>
        <w:pStyle w:val="NoSpacing"/>
      </w:pPr>
    </w:p>
    <w:p w14:paraId="109BF433" w14:textId="77777777" w:rsidR="00CA1183" w:rsidRDefault="00CA1183" w:rsidP="00B36414">
      <w:pPr>
        <w:pStyle w:val="NoSpacing"/>
      </w:pPr>
      <w:r>
        <w:t xml:space="preserve">This </w:t>
      </w:r>
      <w:r w:rsidR="00C0744E">
        <w:t>document serves as a quick guidance for</w:t>
      </w:r>
      <w:r w:rsidR="00606D3F">
        <w:t xml:space="preserve"> using this system properly. Additionally, some statistical methods used </w:t>
      </w:r>
      <w:r w:rsidR="006B173C">
        <w:t>in the system are briefly described</w:t>
      </w:r>
      <w:r w:rsidR="00606D3F">
        <w:t>.</w:t>
      </w:r>
    </w:p>
    <w:p w14:paraId="49F41075" w14:textId="77777777" w:rsidR="00B328B6" w:rsidRDefault="00B328B6" w:rsidP="00B36414">
      <w:pPr>
        <w:pStyle w:val="NoSpacing"/>
      </w:pPr>
    </w:p>
    <w:p w14:paraId="332840BB" w14:textId="77777777" w:rsidR="00B328B6" w:rsidRDefault="00B328B6" w:rsidP="00B36414">
      <w:pPr>
        <w:pStyle w:val="NoSpacing"/>
      </w:pPr>
      <w:r>
        <w:t>In the current version</w:t>
      </w:r>
      <w:r w:rsidR="002C53B1">
        <w:t>, dichotomous data can be analyzed.</w:t>
      </w:r>
    </w:p>
    <w:p w14:paraId="2A4812D0" w14:textId="77777777" w:rsidR="00B328B6" w:rsidRDefault="00B328B6" w:rsidP="00B36414">
      <w:pPr>
        <w:pStyle w:val="NoSpacing"/>
      </w:pPr>
    </w:p>
    <w:p w14:paraId="2A0676FA" w14:textId="77777777" w:rsidR="00B328B6" w:rsidRDefault="006B173C" w:rsidP="00B36414">
      <w:pPr>
        <w:pStyle w:val="NoSpacing"/>
      </w:pPr>
      <w:r>
        <w:t>What’s New?</w:t>
      </w:r>
    </w:p>
    <w:p w14:paraId="550F1E40" w14:textId="77777777" w:rsidR="00B328B6" w:rsidRDefault="00CF3A18" w:rsidP="00CF3A18">
      <w:pPr>
        <w:pStyle w:val="NoSpacing"/>
        <w:numPr>
          <w:ilvl w:val="0"/>
          <w:numId w:val="7"/>
        </w:numPr>
      </w:pPr>
      <w:r>
        <w:t xml:space="preserve">The system is now capable of analyzing continuous summary data </w:t>
      </w:r>
    </w:p>
    <w:p w14:paraId="40085764" w14:textId="77777777" w:rsidR="00CF3A18" w:rsidRDefault="00CF3A18" w:rsidP="00CF3A18">
      <w:pPr>
        <w:pStyle w:val="NoSpacing"/>
        <w:numPr>
          <w:ilvl w:val="0"/>
          <w:numId w:val="7"/>
        </w:numPr>
      </w:pPr>
      <w:r>
        <w:t>The system is now capable of analyzing continuous individual data</w:t>
      </w:r>
    </w:p>
    <w:p w14:paraId="1B0D5E83" w14:textId="77777777" w:rsidR="00CF3A18" w:rsidRDefault="00CF3A18" w:rsidP="00CF3A18">
      <w:pPr>
        <w:pStyle w:val="NoSpacing"/>
        <w:numPr>
          <w:ilvl w:val="0"/>
          <w:numId w:val="7"/>
        </w:numPr>
      </w:pPr>
      <w:r>
        <w:t>The system is now capable of analyzing dichotomous individual data</w:t>
      </w:r>
    </w:p>
    <w:p w14:paraId="6AEF907E" w14:textId="77777777" w:rsidR="00CF3A18" w:rsidRDefault="00CF3A18" w:rsidP="00CF3A18">
      <w:pPr>
        <w:pStyle w:val="NoSpacing"/>
        <w:numPr>
          <w:ilvl w:val="0"/>
          <w:numId w:val="7"/>
        </w:numPr>
      </w:pPr>
      <w:r>
        <w:t xml:space="preserve">The structure of the system has been improved </w:t>
      </w:r>
    </w:p>
    <w:p w14:paraId="038727DD" w14:textId="77777777" w:rsidR="002C53B1" w:rsidRDefault="002C53B1" w:rsidP="00B36414">
      <w:pPr>
        <w:pStyle w:val="NoSpacing"/>
      </w:pPr>
    </w:p>
    <w:p w14:paraId="731106F3" w14:textId="77777777" w:rsidR="002C53B1" w:rsidRDefault="002C53B1" w:rsidP="00B36414">
      <w:pPr>
        <w:pStyle w:val="NoSpacing"/>
      </w:pPr>
    </w:p>
    <w:p w14:paraId="6F4484EC" w14:textId="77777777" w:rsidR="002C53B1" w:rsidRDefault="002C53B1" w:rsidP="00B36414">
      <w:pPr>
        <w:pStyle w:val="NoSpacing"/>
      </w:pPr>
    </w:p>
    <w:p w14:paraId="32AC3A43" w14:textId="77777777" w:rsidR="002C53B1" w:rsidRDefault="002C53B1" w:rsidP="00B36414">
      <w:pPr>
        <w:pStyle w:val="NoSpacing"/>
      </w:pPr>
    </w:p>
    <w:p w14:paraId="1443DECE" w14:textId="77777777" w:rsidR="002C53B1" w:rsidRDefault="002C53B1" w:rsidP="00B36414">
      <w:pPr>
        <w:pStyle w:val="NoSpacing"/>
      </w:pPr>
    </w:p>
    <w:p w14:paraId="0AC73CBC" w14:textId="77777777" w:rsidR="002C53B1" w:rsidRDefault="002C53B1" w:rsidP="00B36414">
      <w:pPr>
        <w:pStyle w:val="NoSpacing"/>
      </w:pPr>
    </w:p>
    <w:p w14:paraId="1871BF1B" w14:textId="77777777" w:rsidR="002C53B1" w:rsidRDefault="002C53B1" w:rsidP="00B36414">
      <w:pPr>
        <w:pStyle w:val="NoSpacing"/>
      </w:pPr>
    </w:p>
    <w:p w14:paraId="5EBD3B3C" w14:textId="77777777" w:rsidR="002C53B1" w:rsidRDefault="002C53B1" w:rsidP="00B36414">
      <w:pPr>
        <w:pStyle w:val="NoSpacing"/>
      </w:pPr>
    </w:p>
    <w:p w14:paraId="1C965121" w14:textId="77777777" w:rsidR="002C53B1" w:rsidRDefault="002C53B1" w:rsidP="00B36414">
      <w:pPr>
        <w:pStyle w:val="NoSpacing"/>
      </w:pPr>
    </w:p>
    <w:p w14:paraId="4DB31AC8" w14:textId="77777777" w:rsidR="002C53B1" w:rsidRDefault="002C53B1" w:rsidP="00B36414">
      <w:pPr>
        <w:pStyle w:val="NoSpacing"/>
      </w:pPr>
    </w:p>
    <w:p w14:paraId="6B17428B" w14:textId="77777777" w:rsidR="002C53B1" w:rsidRDefault="002C53B1" w:rsidP="00B36414">
      <w:pPr>
        <w:pStyle w:val="NoSpacing"/>
      </w:pPr>
    </w:p>
    <w:p w14:paraId="7660D12B" w14:textId="77777777" w:rsidR="002C53B1" w:rsidRDefault="002C53B1" w:rsidP="00B36414">
      <w:pPr>
        <w:pStyle w:val="NoSpacing"/>
      </w:pPr>
    </w:p>
    <w:p w14:paraId="7B45566E" w14:textId="77777777" w:rsidR="002C53B1" w:rsidRDefault="002C53B1" w:rsidP="00B36414">
      <w:pPr>
        <w:pStyle w:val="NoSpacing"/>
      </w:pPr>
    </w:p>
    <w:p w14:paraId="2E11A4E3" w14:textId="77777777" w:rsidR="002C53B1" w:rsidRDefault="002C53B1" w:rsidP="00B36414">
      <w:pPr>
        <w:pStyle w:val="NoSpacing"/>
      </w:pPr>
    </w:p>
    <w:p w14:paraId="75EF53BB" w14:textId="77777777" w:rsidR="002C53B1" w:rsidRDefault="002C53B1" w:rsidP="00B36414">
      <w:pPr>
        <w:pStyle w:val="NoSpacing"/>
      </w:pPr>
    </w:p>
    <w:p w14:paraId="796C20C5" w14:textId="77777777" w:rsidR="002C53B1" w:rsidRDefault="002C53B1" w:rsidP="00B36414">
      <w:pPr>
        <w:pStyle w:val="NoSpacing"/>
      </w:pPr>
    </w:p>
    <w:p w14:paraId="44321EE0" w14:textId="77777777" w:rsidR="002C53B1" w:rsidRDefault="002C53B1" w:rsidP="00B36414">
      <w:pPr>
        <w:pStyle w:val="NoSpacing"/>
      </w:pPr>
    </w:p>
    <w:p w14:paraId="51D75436" w14:textId="77777777" w:rsidR="002C53B1" w:rsidRDefault="002C53B1" w:rsidP="00B36414">
      <w:pPr>
        <w:pStyle w:val="NoSpacing"/>
      </w:pPr>
    </w:p>
    <w:p w14:paraId="4CC6777B" w14:textId="77777777" w:rsidR="002C53B1" w:rsidRDefault="002C53B1" w:rsidP="00B36414">
      <w:pPr>
        <w:pStyle w:val="NoSpacing"/>
      </w:pPr>
    </w:p>
    <w:p w14:paraId="74E277AE" w14:textId="77777777" w:rsidR="002C53B1" w:rsidRDefault="002C53B1" w:rsidP="00B36414">
      <w:pPr>
        <w:pStyle w:val="NoSpacing"/>
      </w:pPr>
    </w:p>
    <w:p w14:paraId="2F1651C9" w14:textId="77777777" w:rsidR="002C53B1" w:rsidRDefault="002C53B1" w:rsidP="00B36414">
      <w:pPr>
        <w:pStyle w:val="NoSpacing"/>
      </w:pPr>
    </w:p>
    <w:p w14:paraId="064C645D" w14:textId="77777777" w:rsidR="002C53B1" w:rsidRDefault="002C53B1" w:rsidP="00B36414">
      <w:pPr>
        <w:pStyle w:val="NoSpacing"/>
      </w:pPr>
    </w:p>
    <w:p w14:paraId="3BB2FD2E" w14:textId="77777777" w:rsidR="002C53B1" w:rsidRDefault="002C53B1" w:rsidP="00B36414">
      <w:pPr>
        <w:pStyle w:val="NoSpacing"/>
      </w:pPr>
    </w:p>
    <w:p w14:paraId="5CA7ACCB" w14:textId="77777777" w:rsidR="002C53B1" w:rsidRDefault="002C53B1" w:rsidP="00B36414">
      <w:pPr>
        <w:pStyle w:val="NoSpacing"/>
      </w:pPr>
    </w:p>
    <w:p w14:paraId="279CD4D8" w14:textId="77777777" w:rsidR="002C53B1" w:rsidRDefault="002C53B1" w:rsidP="00B36414">
      <w:pPr>
        <w:pStyle w:val="NoSpacing"/>
      </w:pPr>
    </w:p>
    <w:p w14:paraId="469E27ED" w14:textId="77777777" w:rsidR="002C53B1" w:rsidRDefault="002C53B1" w:rsidP="00B36414">
      <w:pPr>
        <w:pStyle w:val="NoSpacing"/>
      </w:pPr>
    </w:p>
    <w:p w14:paraId="3C6E978C" w14:textId="77777777" w:rsidR="002C53B1" w:rsidRDefault="002C53B1" w:rsidP="00B36414">
      <w:pPr>
        <w:pStyle w:val="NoSpacing"/>
      </w:pPr>
    </w:p>
    <w:p w14:paraId="79B8B7A3" w14:textId="77777777" w:rsidR="002C53B1" w:rsidRDefault="002C53B1" w:rsidP="00B36414">
      <w:pPr>
        <w:pStyle w:val="NoSpacing"/>
      </w:pPr>
    </w:p>
    <w:p w14:paraId="3E69E9FE" w14:textId="77777777" w:rsidR="002C53B1" w:rsidRDefault="002C53B1" w:rsidP="00B36414">
      <w:pPr>
        <w:pStyle w:val="NoSpacing"/>
      </w:pPr>
    </w:p>
    <w:p w14:paraId="00427FD5" w14:textId="77777777" w:rsidR="002C53B1" w:rsidRDefault="002C53B1" w:rsidP="00B36414">
      <w:pPr>
        <w:pStyle w:val="NoSpacing"/>
      </w:pPr>
    </w:p>
    <w:p w14:paraId="122EB798" w14:textId="77777777" w:rsidR="002C53B1" w:rsidRDefault="002C53B1" w:rsidP="00B36414">
      <w:pPr>
        <w:pStyle w:val="NoSpacing"/>
      </w:pPr>
    </w:p>
    <w:p w14:paraId="2545F1F4" w14:textId="77777777" w:rsidR="002C53B1" w:rsidRDefault="002C53B1" w:rsidP="00B36414">
      <w:pPr>
        <w:pStyle w:val="NoSpacing"/>
      </w:pPr>
    </w:p>
    <w:p w14:paraId="075FD42C" w14:textId="77777777" w:rsidR="002C53B1" w:rsidRDefault="002C53B1" w:rsidP="00B36414">
      <w:pPr>
        <w:pStyle w:val="NoSpacing"/>
      </w:pPr>
    </w:p>
    <w:sdt>
      <w:sdtPr>
        <w:rPr>
          <w:rFonts w:asciiTheme="minorHAnsi" w:eastAsiaTheme="minorEastAsia" w:hAnsiTheme="minorHAnsi" w:cstheme="minorBidi"/>
          <w:color w:val="auto"/>
          <w:sz w:val="22"/>
          <w:szCs w:val="22"/>
          <w:lang w:eastAsia="zh-CN"/>
        </w:rPr>
        <w:id w:val="-2071803627"/>
        <w:docPartObj>
          <w:docPartGallery w:val="Table of Contents"/>
          <w:docPartUnique/>
        </w:docPartObj>
      </w:sdtPr>
      <w:sdtEndPr>
        <w:rPr>
          <w:b/>
          <w:bCs/>
          <w:noProof/>
        </w:rPr>
      </w:sdtEndPr>
      <w:sdtContent>
        <w:p w14:paraId="025B6053" w14:textId="77777777" w:rsidR="005E2A5D" w:rsidRDefault="005E2A5D">
          <w:pPr>
            <w:pStyle w:val="TOCHeading"/>
          </w:pPr>
          <w:r>
            <w:t>Contents</w:t>
          </w:r>
        </w:p>
        <w:p w14:paraId="6CEECD9A" w14:textId="77777777" w:rsidR="00217CB1" w:rsidRDefault="005E2A5D">
          <w:pPr>
            <w:pStyle w:val="TOC1"/>
            <w:tabs>
              <w:tab w:val="left" w:pos="440"/>
              <w:tab w:val="right" w:leader="dot" w:pos="8630"/>
            </w:tabs>
            <w:rPr>
              <w:rFonts w:cstheme="minorBidi"/>
              <w:noProof/>
              <w:lang w:eastAsia="zh-CN"/>
            </w:rPr>
          </w:pPr>
          <w:r>
            <w:fldChar w:fldCharType="begin"/>
          </w:r>
          <w:r>
            <w:instrText xml:space="preserve"> TOC \o "1-3" \h \z \u </w:instrText>
          </w:r>
          <w:r>
            <w:fldChar w:fldCharType="separate"/>
          </w:r>
          <w:hyperlink w:anchor="_Toc445740005" w:history="1">
            <w:r w:rsidR="00217CB1" w:rsidRPr="00310739">
              <w:rPr>
                <w:rStyle w:val="Hyperlink"/>
                <w:b/>
                <w:noProof/>
              </w:rPr>
              <w:t>1.</w:t>
            </w:r>
            <w:r w:rsidR="00217CB1">
              <w:rPr>
                <w:rFonts w:cstheme="minorBidi"/>
                <w:noProof/>
                <w:lang w:eastAsia="zh-CN"/>
              </w:rPr>
              <w:tab/>
            </w:r>
            <w:r w:rsidR="00217CB1" w:rsidRPr="00310739">
              <w:rPr>
                <w:rStyle w:val="Hyperlink"/>
                <w:b/>
                <w:noProof/>
              </w:rPr>
              <w:t>Login the System</w:t>
            </w:r>
            <w:r w:rsidR="00217CB1">
              <w:rPr>
                <w:noProof/>
                <w:webHidden/>
              </w:rPr>
              <w:tab/>
            </w:r>
            <w:r w:rsidR="00217CB1">
              <w:rPr>
                <w:noProof/>
                <w:webHidden/>
              </w:rPr>
              <w:fldChar w:fldCharType="begin"/>
            </w:r>
            <w:r w:rsidR="00217CB1">
              <w:rPr>
                <w:noProof/>
                <w:webHidden/>
              </w:rPr>
              <w:instrText xml:space="preserve"> PAGEREF _Toc445740005 \h </w:instrText>
            </w:r>
            <w:r w:rsidR="00217CB1">
              <w:rPr>
                <w:noProof/>
                <w:webHidden/>
              </w:rPr>
            </w:r>
            <w:r w:rsidR="00217CB1">
              <w:rPr>
                <w:noProof/>
                <w:webHidden/>
              </w:rPr>
              <w:fldChar w:fldCharType="separate"/>
            </w:r>
            <w:r w:rsidR="00217CB1">
              <w:rPr>
                <w:noProof/>
                <w:webHidden/>
              </w:rPr>
              <w:t>3</w:t>
            </w:r>
            <w:r w:rsidR="00217CB1">
              <w:rPr>
                <w:noProof/>
                <w:webHidden/>
              </w:rPr>
              <w:fldChar w:fldCharType="end"/>
            </w:r>
          </w:hyperlink>
        </w:p>
        <w:p w14:paraId="20526EE1" w14:textId="77777777" w:rsidR="00217CB1" w:rsidRDefault="0000455A">
          <w:pPr>
            <w:pStyle w:val="TOC1"/>
            <w:tabs>
              <w:tab w:val="left" w:pos="440"/>
              <w:tab w:val="right" w:leader="dot" w:pos="8630"/>
            </w:tabs>
            <w:rPr>
              <w:rFonts w:cstheme="minorBidi"/>
              <w:noProof/>
              <w:lang w:eastAsia="zh-CN"/>
            </w:rPr>
          </w:pPr>
          <w:hyperlink w:anchor="_Toc445740006" w:history="1">
            <w:r w:rsidR="00217CB1" w:rsidRPr="00310739">
              <w:rPr>
                <w:rStyle w:val="Hyperlink"/>
                <w:b/>
                <w:noProof/>
              </w:rPr>
              <w:t>2.</w:t>
            </w:r>
            <w:r w:rsidR="00217CB1">
              <w:rPr>
                <w:rFonts w:cstheme="minorBidi"/>
                <w:noProof/>
                <w:lang w:eastAsia="zh-CN"/>
              </w:rPr>
              <w:tab/>
            </w:r>
            <w:r w:rsidR="00217CB1" w:rsidRPr="00310739">
              <w:rPr>
                <w:rStyle w:val="Hyperlink"/>
                <w:b/>
                <w:noProof/>
              </w:rPr>
              <w:t>Start a New Analysis or Update an Existing Analysis</w:t>
            </w:r>
            <w:r w:rsidR="00217CB1">
              <w:rPr>
                <w:noProof/>
                <w:webHidden/>
              </w:rPr>
              <w:tab/>
            </w:r>
            <w:r w:rsidR="00217CB1">
              <w:rPr>
                <w:noProof/>
                <w:webHidden/>
              </w:rPr>
              <w:fldChar w:fldCharType="begin"/>
            </w:r>
            <w:r w:rsidR="00217CB1">
              <w:rPr>
                <w:noProof/>
                <w:webHidden/>
              </w:rPr>
              <w:instrText xml:space="preserve"> PAGEREF _Toc445740006 \h </w:instrText>
            </w:r>
            <w:r w:rsidR="00217CB1">
              <w:rPr>
                <w:noProof/>
                <w:webHidden/>
              </w:rPr>
            </w:r>
            <w:r w:rsidR="00217CB1">
              <w:rPr>
                <w:noProof/>
                <w:webHidden/>
              </w:rPr>
              <w:fldChar w:fldCharType="separate"/>
            </w:r>
            <w:r w:rsidR="00217CB1">
              <w:rPr>
                <w:noProof/>
                <w:webHidden/>
              </w:rPr>
              <w:t>3</w:t>
            </w:r>
            <w:r w:rsidR="00217CB1">
              <w:rPr>
                <w:noProof/>
                <w:webHidden/>
              </w:rPr>
              <w:fldChar w:fldCharType="end"/>
            </w:r>
          </w:hyperlink>
        </w:p>
        <w:p w14:paraId="157470CD" w14:textId="77777777" w:rsidR="00217CB1" w:rsidRDefault="0000455A">
          <w:pPr>
            <w:pStyle w:val="TOC1"/>
            <w:tabs>
              <w:tab w:val="left" w:pos="440"/>
              <w:tab w:val="right" w:leader="dot" w:pos="8630"/>
            </w:tabs>
            <w:rPr>
              <w:rFonts w:cstheme="minorBidi"/>
              <w:noProof/>
              <w:lang w:eastAsia="zh-CN"/>
            </w:rPr>
          </w:pPr>
          <w:hyperlink w:anchor="_Toc445740007" w:history="1">
            <w:r w:rsidR="00217CB1" w:rsidRPr="00310739">
              <w:rPr>
                <w:rStyle w:val="Hyperlink"/>
                <w:b/>
                <w:noProof/>
              </w:rPr>
              <w:t>3.</w:t>
            </w:r>
            <w:r w:rsidR="00217CB1">
              <w:rPr>
                <w:rFonts w:cstheme="minorBidi"/>
                <w:noProof/>
                <w:lang w:eastAsia="zh-CN"/>
              </w:rPr>
              <w:tab/>
            </w:r>
            <w:r w:rsidR="00217CB1" w:rsidRPr="00310739">
              <w:rPr>
                <w:rStyle w:val="Hyperlink"/>
                <w:b/>
                <w:noProof/>
              </w:rPr>
              <w:t>Data Input and Pre-Analysis</w:t>
            </w:r>
            <w:r w:rsidR="00217CB1">
              <w:rPr>
                <w:noProof/>
                <w:webHidden/>
              </w:rPr>
              <w:tab/>
            </w:r>
            <w:r w:rsidR="00217CB1">
              <w:rPr>
                <w:noProof/>
                <w:webHidden/>
              </w:rPr>
              <w:fldChar w:fldCharType="begin"/>
            </w:r>
            <w:r w:rsidR="00217CB1">
              <w:rPr>
                <w:noProof/>
                <w:webHidden/>
              </w:rPr>
              <w:instrText xml:space="preserve"> PAGEREF _Toc445740007 \h </w:instrText>
            </w:r>
            <w:r w:rsidR="00217CB1">
              <w:rPr>
                <w:noProof/>
                <w:webHidden/>
              </w:rPr>
            </w:r>
            <w:r w:rsidR="00217CB1">
              <w:rPr>
                <w:noProof/>
                <w:webHidden/>
              </w:rPr>
              <w:fldChar w:fldCharType="separate"/>
            </w:r>
            <w:r w:rsidR="00217CB1">
              <w:rPr>
                <w:noProof/>
                <w:webHidden/>
              </w:rPr>
              <w:t>3</w:t>
            </w:r>
            <w:r w:rsidR="00217CB1">
              <w:rPr>
                <w:noProof/>
                <w:webHidden/>
              </w:rPr>
              <w:fldChar w:fldCharType="end"/>
            </w:r>
          </w:hyperlink>
        </w:p>
        <w:p w14:paraId="2F1831C1" w14:textId="77777777" w:rsidR="00217CB1" w:rsidRDefault="0000455A">
          <w:pPr>
            <w:pStyle w:val="TOC2"/>
            <w:tabs>
              <w:tab w:val="left" w:pos="880"/>
              <w:tab w:val="right" w:leader="dot" w:pos="8630"/>
            </w:tabs>
            <w:rPr>
              <w:rFonts w:cstheme="minorBidi"/>
              <w:noProof/>
              <w:lang w:eastAsia="zh-CN"/>
            </w:rPr>
          </w:pPr>
          <w:hyperlink w:anchor="_Toc445740008" w:history="1">
            <w:r w:rsidR="00217CB1" w:rsidRPr="00310739">
              <w:rPr>
                <w:rStyle w:val="Hyperlink"/>
                <w:b/>
                <w:i/>
                <w:noProof/>
              </w:rPr>
              <w:t>3.1</w:t>
            </w:r>
            <w:r w:rsidR="00217CB1">
              <w:rPr>
                <w:rFonts w:cstheme="minorBidi"/>
                <w:noProof/>
                <w:lang w:eastAsia="zh-CN"/>
              </w:rPr>
              <w:tab/>
            </w:r>
            <w:r w:rsidR="00217CB1" w:rsidRPr="00310739">
              <w:rPr>
                <w:rStyle w:val="Hyperlink"/>
                <w:b/>
                <w:i/>
                <w:noProof/>
              </w:rPr>
              <w:t>Selection of Data Type</w:t>
            </w:r>
            <w:r w:rsidR="00217CB1">
              <w:rPr>
                <w:noProof/>
                <w:webHidden/>
              </w:rPr>
              <w:tab/>
            </w:r>
            <w:r w:rsidR="00217CB1">
              <w:rPr>
                <w:noProof/>
                <w:webHidden/>
              </w:rPr>
              <w:fldChar w:fldCharType="begin"/>
            </w:r>
            <w:r w:rsidR="00217CB1">
              <w:rPr>
                <w:noProof/>
                <w:webHidden/>
              </w:rPr>
              <w:instrText xml:space="preserve"> PAGEREF _Toc445740008 \h </w:instrText>
            </w:r>
            <w:r w:rsidR="00217CB1">
              <w:rPr>
                <w:noProof/>
                <w:webHidden/>
              </w:rPr>
            </w:r>
            <w:r w:rsidR="00217CB1">
              <w:rPr>
                <w:noProof/>
                <w:webHidden/>
              </w:rPr>
              <w:fldChar w:fldCharType="separate"/>
            </w:r>
            <w:r w:rsidR="00217CB1">
              <w:rPr>
                <w:noProof/>
                <w:webHidden/>
              </w:rPr>
              <w:t>3</w:t>
            </w:r>
            <w:r w:rsidR="00217CB1">
              <w:rPr>
                <w:noProof/>
                <w:webHidden/>
              </w:rPr>
              <w:fldChar w:fldCharType="end"/>
            </w:r>
          </w:hyperlink>
        </w:p>
        <w:p w14:paraId="4E398551" w14:textId="77777777" w:rsidR="00217CB1" w:rsidRDefault="0000455A">
          <w:pPr>
            <w:pStyle w:val="TOC2"/>
            <w:tabs>
              <w:tab w:val="left" w:pos="880"/>
              <w:tab w:val="right" w:leader="dot" w:pos="8630"/>
            </w:tabs>
            <w:rPr>
              <w:rFonts w:cstheme="minorBidi"/>
              <w:noProof/>
              <w:lang w:eastAsia="zh-CN"/>
            </w:rPr>
          </w:pPr>
          <w:hyperlink w:anchor="_Toc445740009" w:history="1">
            <w:r w:rsidR="00217CB1" w:rsidRPr="00310739">
              <w:rPr>
                <w:rStyle w:val="Hyperlink"/>
                <w:b/>
                <w:i/>
                <w:noProof/>
              </w:rPr>
              <w:t>3.2</w:t>
            </w:r>
            <w:r w:rsidR="00217CB1">
              <w:rPr>
                <w:rFonts w:cstheme="minorBidi"/>
                <w:noProof/>
                <w:lang w:eastAsia="zh-CN"/>
              </w:rPr>
              <w:tab/>
            </w:r>
            <w:r w:rsidR="00217CB1" w:rsidRPr="00310739">
              <w:rPr>
                <w:rStyle w:val="Hyperlink"/>
                <w:b/>
                <w:i/>
                <w:noProof/>
              </w:rPr>
              <w:t>Data Input</w:t>
            </w:r>
            <w:r w:rsidR="00217CB1">
              <w:rPr>
                <w:noProof/>
                <w:webHidden/>
              </w:rPr>
              <w:tab/>
            </w:r>
            <w:r w:rsidR="00217CB1">
              <w:rPr>
                <w:noProof/>
                <w:webHidden/>
              </w:rPr>
              <w:fldChar w:fldCharType="begin"/>
            </w:r>
            <w:r w:rsidR="00217CB1">
              <w:rPr>
                <w:noProof/>
                <w:webHidden/>
              </w:rPr>
              <w:instrText xml:space="preserve"> PAGEREF _Toc445740009 \h </w:instrText>
            </w:r>
            <w:r w:rsidR="00217CB1">
              <w:rPr>
                <w:noProof/>
                <w:webHidden/>
              </w:rPr>
            </w:r>
            <w:r w:rsidR="00217CB1">
              <w:rPr>
                <w:noProof/>
                <w:webHidden/>
              </w:rPr>
              <w:fldChar w:fldCharType="separate"/>
            </w:r>
            <w:r w:rsidR="00217CB1">
              <w:rPr>
                <w:noProof/>
                <w:webHidden/>
              </w:rPr>
              <w:t>4</w:t>
            </w:r>
            <w:r w:rsidR="00217CB1">
              <w:rPr>
                <w:noProof/>
                <w:webHidden/>
              </w:rPr>
              <w:fldChar w:fldCharType="end"/>
            </w:r>
          </w:hyperlink>
        </w:p>
        <w:p w14:paraId="0FBC43DA" w14:textId="77777777" w:rsidR="00217CB1" w:rsidRDefault="0000455A">
          <w:pPr>
            <w:pStyle w:val="TOC2"/>
            <w:tabs>
              <w:tab w:val="left" w:pos="880"/>
              <w:tab w:val="right" w:leader="dot" w:pos="8630"/>
            </w:tabs>
            <w:rPr>
              <w:rFonts w:cstheme="minorBidi"/>
              <w:noProof/>
              <w:lang w:eastAsia="zh-CN"/>
            </w:rPr>
          </w:pPr>
          <w:hyperlink w:anchor="_Toc445740010" w:history="1">
            <w:r w:rsidR="00217CB1" w:rsidRPr="00310739">
              <w:rPr>
                <w:rStyle w:val="Hyperlink"/>
                <w:b/>
                <w:i/>
                <w:noProof/>
              </w:rPr>
              <w:t>3.3</w:t>
            </w:r>
            <w:r w:rsidR="00217CB1">
              <w:rPr>
                <w:rFonts w:cstheme="minorBidi"/>
                <w:noProof/>
                <w:lang w:eastAsia="zh-CN"/>
              </w:rPr>
              <w:tab/>
            </w:r>
            <w:r w:rsidR="00217CB1" w:rsidRPr="00310739">
              <w:rPr>
                <w:rStyle w:val="Hyperlink"/>
                <w:b/>
                <w:i/>
                <w:noProof/>
              </w:rPr>
              <w:t>Data Pre-Analysis</w:t>
            </w:r>
            <w:r w:rsidR="00217CB1">
              <w:rPr>
                <w:noProof/>
                <w:webHidden/>
              </w:rPr>
              <w:tab/>
            </w:r>
            <w:r w:rsidR="00217CB1">
              <w:rPr>
                <w:noProof/>
                <w:webHidden/>
              </w:rPr>
              <w:fldChar w:fldCharType="begin"/>
            </w:r>
            <w:r w:rsidR="00217CB1">
              <w:rPr>
                <w:noProof/>
                <w:webHidden/>
              </w:rPr>
              <w:instrText xml:space="preserve"> PAGEREF _Toc445740010 \h </w:instrText>
            </w:r>
            <w:r w:rsidR="00217CB1">
              <w:rPr>
                <w:noProof/>
                <w:webHidden/>
              </w:rPr>
            </w:r>
            <w:r w:rsidR="00217CB1">
              <w:rPr>
                <w:noProof/>
                <w:webHidden/>
              </w:rPr>
              <w:fldChar w:fldCharType="separate"/>
            </w:r>
            <w:r w:rsidR="00217CB1">
              <w:rPr>
                <w:noProof/>
                <w:webHidden/>
              </w:rPr>
              <w:t>5</w:t>
            </w:r>
            <w:r w:rsidR="00217CB1">
              <w:rPr>
                <w:noProof/>
                <w:webHidden/>
              </w:rPr>
              <w:fldChar w:fldCharType="end"/>
            </w:r>
          </w:hyperlink>
        </w:p>
        <w:p w14:paraId="4483CA5A" w14:textId="77777777" w:rsidR="00217CB1" w:rsidRDefault="0000455A">
          <w:pPr>
            <w:pStyle w:val="TOC1"/>
            <w:tabs>
              <w:tab w:val="left" w:pos="440"/>
              <w:tab w:val="right" w:leader="dot" w:pos="8630"/>
            </w:tabs>
            <w:rPr>
              <w:rFonts w:cstheme="minorBidi"/>
              <w:noProof/>
              <w:lang w:eastAsia="zh-CN"/>
            </w:rPr>
          </w:pPr>
          <w:hyperlink w:anchor="_Toc445740011" w:history="1">
            <w:r w:rsidR="00217CB1" w:rsidRPr="00310739">
              <w:rPr>
                <w:rStyle w:val="Hyperlink"/>
                <w:b/>
                <w:noProof/>
              </w:rPr>
              <w:t>4.</w:t>
            </w:r>
            <w:r w:rsidR="00217CB1">
              <w:rPr>
                <w:rFonts w:cstheme="minorBidi"/>
                <w:noProof/>
                <w:lang w:eastAsia="zh-CN"/>
              </w:rPr>
              <w:tab/>
            </w:r>
            <w:r w:rsidR="00217CB1" w:rsidRPr="00310739">
              <w:rPr>
                <w:rStyle w:val="Hyperlink"/>
                <w:b/>
                <w:noProof/>
              </w:rPr>
              <w:t>MCMC Settings</w:t>
            </w:r>
            <w:r w:rsidR="00217CB1">
              <w:rPr>
                <w:noProof/>
                <w:webHidden/>
              </w:rPr>
              <w:tab/>
            </w:r>
            <w:r w:rsidR="00217CB1">
              <w:rPr>
                <w:noProof/>
                <w:webHidden/>
              </w:rPr>
              <w:fldChar w:fldCharType="begin"/>
            </w:r>
            <w:r w:rsidR="00217CB1">
              <w:rPr>
                <w:noProof/>
                <w:webHidden/>
              </w:rPr>
              <w:instrText xml:space="preserve"> PAGEREF _Toc445740011 \h </w:instrText>
            </w:r>
            <w:r w:rsidR="00217CB1">
              <w:rPr>
                <w:noProof/>
                <w:webHidden/>
              </w:rPr>
            </w:r>
            <w:r w:rsidR="00217CB1">
              <w:rPr>
                <w:noProof/>
                <w:webHidden/>
              </w:rPr>
              <w:fldChar w:fldCharType="separate"/>
            </w:r>
            <w:r w:rsidR="00217CB1">
              <w:rPr>
                <w:noProof/>
                <w:webHidden/>
              </w:rPr>
              <w:t>5</w:t>
            </w:r>
            <w:r w:rsidR="00217CB1">
              <w:rPr>
                <w:noProof/>
                <w:webHidden/>
              </w:rPr>
              <w:fldChar w:fldCharType="end"/>
            </w:r>
          </w:hyperlink>
        </w:p>
        <w:p w14:paraId="0EF6B577" w14:textId="77777777" w:rsidR="00217CB1" w:rsidRDefault="0000455A">
          <w:pPr>
            <w:pStyle w:val="TOC1"/>
            <w:tabs>
              <w:tab w:val="left" w:pos="440"/>
              <w:tab w:val="right" w:leader="dot" w:pos="8630"/>
            </w:tabs>
            <w:rPr>
              <w:rFonts w:cstheme="minorBidi"/>
              <w:noProof/>
              <w:lang w:eastAsia="zh-CN"/>
            </w:rPr>
          </w:pPr>
          <w:hyperlink w:anchor="_Toc445740012" w:history="1">
            <w:r w:rsidR="00217CB1" w:rsidRPr="00310739">
              <w:rPr>
                <w:rStyle w:val="Hyperlink"/>
                <w:b/>
                <w:noProof/>
              </w:rPr>
              <w:t>5.</w:t>
            </w:r>
            <w:r w:rsidR="00217CB1">
              <w:rPr>
                <w:rFonts w:cstheme="minorBidi"/>
                <w:noProof/>
                <w:lang w:eastAsia="zh-CN"/>
              </w:rPr>
              <w:tab/>
            </w:r>
            <w:r w:rsidR="00217CB1" w:rsidRPr="00310739">
              <w:rPr>
                <w:rStyle w:val="Hyperlink"/>
                <w:b/>
                <w:noProof/>
              </w:rPr>
              <w:t>Model Settings</w:t>
            </w:r>
            <w:r w:rsidR="00217CB1">
              <w:rPr>
                <w:noProof/>
                <w:webHidden/>
              </w:rPr>
              <w:tab/>
            </w:r>
            <w:r w:rsidR="00217CB1">
              <w:rPr>
                <w:noProof/>
                <w:webHidden/>
              </w:rPr>
              <w:fldChar w:fldCharType="begin"/>
            </w:r>
            <w:r w:rsidR="00217CB1">
              <w:rPr>
                <w:noProof/>
                <w:webHidden/>
              </w:rPr>
              <w:instrText xml:space="preserve"> PAGEREF _Toc445740012 \h </w:instrText>
            </w:r>
            <w:r w:rsidR="00217CB1">
              <w:rPr>
                <w:noProof/>
                <w:webHidden/>
              </w:rPr>
            </w:r>
            <w:r w:rsidR="00217CB1">
              <w:rPr>
                <w:noProof/>
                <w:webHidden/>
              </w:rPr>
              <w:fldChar w:fldCharType="separate"/>
            </w:r>
            <w:r w:rsidR="00217CB1">
              <w:rPr>
                <w:noProof/>
                <w:webHidden/>
              </w:rPr>
              <w:t>6</w:t>
            </w:r>
            <w:r w:rsidR="00217CB1">
              <w:rPr>
                <w:noProof/>
                <w:webHidden/>
              </w:rPr>
              <w:fldChar w:fldCharType="end"/>
            </w:r>
          </w:hyperlink>
        </w:p>
        <w:p w14:paraId="299C56BF" w14:textId="77777777" w:rsidR="00217CB1" w:rsidRDefault="0000455A">
          <w:pPr>
            <w:pStyle w:val="TOC2"/>
            <w:tabs>
              <w:tab w:val="left" w:pos="880"/>
              <w:tab w:val="right" w:leader="dot" w:pos="8630"/>
            </w:tabs>
            <w:rPr>
              <w:rFonts w:cstheme="minorBidi"/>
              <w:noProof/>
              <w:lang w:eastAsia="zh-CN"/>
            </w:rPr>
          </w:pPr>
          <w:hyperlink w:anchor="_Toc445740013" w:history="1">
            <w:r w:rsidR="00217CB1" w:rsidRPr="00310739">
              <w:rPr>
                <w:rStyle w:val="Hyperlink"/>
                <w:b/>
                <w:i/>
                <w:noProof/>
              </w:rPr>
              <w:t>5.1</w:t>
            </w:r>
            <w:r w:rsidR="00217CB1">
              <w:rPr>
                <w:rFonts w:cstheme="minorBidi"/>
                <w:noProof/>
                <w:lang w:eastAsia="zh-CN"/>
              </w:rPr>
              <w:tab/>
            </w:r>
            <w:r w:rsidR="00217CB1" w:rsidRPr="00310739">
              <w:rPr>
                <w:rStyle w:val="Hyperlink"/>
                <w:b/>
                <w:i/>
                <w:noProof/>
              </w:rPr>
              <w:t>Available Models and Settings</w:t>
            </w:r>
            <w:r w:rsidR="00217CB1">
              <w:rPr>
                <w:noProof/>
                <w:webHidden/>
              </w:rPr>
              <w:tab/>
            </w:r>
            <w:r w:rsidR="00217CB1">
              <w:rPr>
                <w:noProof/>
                <w:webHidden/>
              </w:rPr>
              <w:fldChar w:fldCharType="begin"/>
            </w:r>
            <w:r w:rsidR="00217CB1">
              <w:rPr>
                <w:noProof/>
                <w:webHidden/>
              </w:rPr>
              <w:instrText xml:space="preserve"> PAGEREF _Toc445740013 \h </w:instrText>
            </w:r>
            <w:r w:rsidR="00217CB1">
              <w:rPr>
                <w:noProof/>
                <w:webHidden/>
              </w:rPr>
            </w:r>
            <w:r w:rsidR="00217CB1">
              <w:rPr>
                <w:noProof/>
                <w:webHidden/>
              </w:rPr>
              <w:fldChar w:fldCharType="separate"/>
            </w:r>
            <w:r w:rsidR="00217CB1">
              <w:rPr>
                <w:noProof/>
                <w:webHidden/>
              </w:rPr>
              <w:t>6</w:t>
            </w:r>
            <w:r w:rsidR="00217CB1">
              <w:rPr>
                <w:noProof/>
                <w:webHidden/>
              </w:rPr>
              <w:fldChar w:fldCharType="end"/>
            </w:r>
          </w:hyperlink>
        </w:p>
        <w:p w14:paraId="6DB89FEC" w14:textId="77777777" w:rsidR="00217CB1" w:rsidRDefault="0000455A">
          <w:pPr>
            <w:pStyle w:val="TOC2"/>
            <w:tabs>
              <w:tab w:val="left" w:pos="880"/>
              <w:tab w:val="right" w:leader="dot" w:pos="8630"/>
            </w:tabs>
            <w:rPr>
              <w:rFonts w:cstheme="minorBidi"/>
              <w:noProof/>
              <w:lang w:eastAsia="zh-CN"/>
            </w:rPr>
          </w:pPr>
          <w:hyperlink w:anchor="_Toc445740014" w:history="1">
            <w:r w:rsidR="00217CB1" w:rsidRPr="00310739">
              <w:rPr>
                <w:rStyle w:val="Hyperlink"/>
                <w:b/>
                <w:i/>
                <w:noProof/>
              </w:rPr>
              <w:t>5.2</w:t>
            </w:r>
            <w:r w:rsidR="00217CB1">
              <w:rPr>
                <w:rFonts w:cstheme="minorBidi"/>
                <w:noProof/>
                <w:lang w:eastAsia="zh-CN"/>
              </w:rPr>
              <w:tab/>
            </w:r>
            <w:r w:rsidR="00217CB1" w:rsidRPr="00310739">
              <w:rPr>
                <w:rStyle w:val="Hyperlink"/>
                <w:b/>
                <w:i/>
                <w:noProof/>
              </w:rPr>
              <w:t>Add and Delete Models</w:t>
            </w:r>
            <w:r w:rsidR="00217CB1">
              <w:rPr>
                <w:noProof/>
                <w:webHidden/>
              </w:rPr>
              <w:tab/>
            </w:r>
            <w:r w:rsidR="00217CB1">
              <w:rPr>
                <w:noProof/>
                <w:webHidden/>
              </w:rPr>
              <w:fldChar w:fldCharType="begin"/>
            </w:r>
            <w:r w:rsidR="00217CB1">
              <w:rPr>
                <w:noProof/>
                <w:webHidden/>
              </w:rPr>
              <w:instrText xml:space="preserve"> PAGEREF _Toc445740014 \h </w:instrText>
            </w:r>
            <w:r w:rsidR="00217CB1">
              <w:rPr>
                <w:noProof/>
                <w:webHidden/>
              </w:rPr>
            </w:r>
            <w:r w:rsidR="00217CB1">
              <w:rPr>
                <w:noProof/>
                <w:webHidden/>
              </w:rPr>
              <w:fldChar w:fldCharType="separate"/>
            </w:r>
            <w:r w:rsidR="00217CB1">
              <w:rPr>
                <w:noProof/>
                <w:webHidden/>
              </w:rPr>
              <w:t>11</w:t>
            </w:r>
            <w:r w:rsidR="00217CB1">
              <w:rPr>
                <w:noProof/>
                <w:webHidden/>
              </w:rPr>
              <w:fldChar w:fldCharType="end"/>
            </w:r>
          </w:hyperlink>
        </w:p>
        <w:p w14:paraId="5EDC05F6" w14:textId="77777777" w:rsidR="00217CB1" w:rsidRDefault="0000455A">
          <w:pPr>
            <w:pStyle w:val="TOC1"/>
            <w:tabs>
              <w:tab w:val="left" w:pos="440"/>
              <w:tab w:val="right" w:leader="dot" w:pos="8630"/>
            </w:tabs>
            <w:rPr>
              <w:rFonts w:cstheme="minorBidi"/>
              <w:noProof/>
              <w:lang w:eastAsia="zh-CN"/>
            </w:rPr>
          </w:pPr>
          <w:hyperlink w:anchor="_Toc445740015" w:history="1">
            <w:r w:rsidR="00217CB1" w:rsidRPr="00310739">
              <w:rPr>
                <w:rStyle w:val="Hyperlink"/>
                <w:b/>
                <w:noProof/>
              </w:rPr>
              <w:t>6.</w:t>
            </w:r>
            <w:r w:rsidR="00217CB1">
              <w:rPr>
                <w:rFonts w:cstheme="minorBidi"/>
                <w:noProof/>
                <w:lang w:eastAsia="zh-CN"/>
              </w:rPr>
              <w:tab/>
            </w:r>
            <w:r w:rsidR="00217CB1" w:rsidRPr="00310739">
              <w:rPr>
                <w:rStyle w:val="Hyperlink"/>
                <w:b/>
                <w:noProof/>
              </w:rPr>
              <w:t>Execute Model Fit</w:t>
            </w:r>
            <w:r w:rsidR="00217CB1">
              <w:rPr>
                <w:noProof/>
                <w:webHidden/>
              </w:rPr>
              <w:tab/>
            </w:r>
            <w:r w:rsidR="00217CB1">
              <w:rPr>
                <w:noProof/>
                <w:webHidden/>
              </w:rPr>
              <w:fldChar w:fldCharType="begin"/>
            </w:r>
            <w:r w:rsidR="00217CB1">
              <w:rPr>
                <w:noProof/>
                <w:webHidden/>
              </w:rPr>
              <w:instrText xml:space="preserve"> PAGEREF _Toc445740015 \h </w:instrText>
            </w:r>
            <w:r w:rsidR="00217CB1">
              <w:rPr>
                <w:noProof/>
                <w:webHidden/>
              </w:rPr>
            </w:r>
            <w:r w:rsidR="00217CB1">
              <w:rPr>
                <w:noProof/>
                <w:webHidden/>
              </w:rPr>
              <w:fldChar w:fldCharType="separate"/>
            </w:r>
            <w:r w:rsidR="00217CB1">
              <w:rPr>
                <w:noProof/>
                <w:webHidden/>
              </w:rPr>
              <w:t>11</w:t>
            </w:r>
            <w:r w:rsidR="00217CB1">
              <w:rPr>
                <w:noProof/>
                <w:webHidden/>
              </w:rPr>
              <w:fldChar w:fldCharType="end"/>
            </w:r>
          </w:hyperlink>
        </w:p>
        <w:p w14:paraId="39DD977E" w14:textId="77777777" w:rsidR="00217CB1" w:rsidRDefault="0000455A">
          <w:pPr>
            <w:pStyle w:val="TOC1"/>
            <w:tabs>
              <w:tab w:val="left" w:pos="440"/>
              <w:tab w:val="right" w:leader="dot" w:pos="8630"/>
            </w:tabs>
            <w:rPr>
              <w:rFonts w:cstheme="minorBidi"/>
              <w:noProof/>
              <w:lang w:eastAsia="zh-CN"/>
            </w:rPr>
          </w:pPr>
          <w:hyperlink w:anchor="_Toc445740016" w:history="1">
            <w:r w:rsidR="00217CB1" w:rsidRPr="00310739">
              <w:rPr>
                <w:rStyle w:val="Hyperlink"/>
                <w:b/>
                <w:noProof/>
              </w:rPr>
              <w:t>7.</w:t>
            </w:r>
            <w:r w:rsidR="00217CB1">
              <w:rPr>
                <w:rFonts w:cstheme="minorBidi"/>
                <w:noProof/>
                <w:lang w:eastAsia="zh-CN"/>
              </w:rPr>
              <w:tab/>
            </w:r>
            <w:r w:rsidR="00217CB1" w:rsidRPr="00310739">
              <w:rPr>
                <w:rStyle w:val="Hyperlink"/>
                <w:b/>
                <w:noProof/>
              </w:rPr>
              <w:t>Model Fit Results</w:t>
            </w:r>
            <w:r w:rsidR="00217CB1">
              <w:rPr>
                <w:noProof/>
                <w:webHidden/>
              </w:rPr>
              <w:tab/>
            </w:r>
            <w:r w:rsidR="00217CB1">
              <w:rPr>
                <w:noProof/>
                <w:webHidden/>
              </w:rPr>
              <w:fldChar w:fldCharType="begin"/>
            </w:r>
            <w:r w:rsidR="00217CB1">
              <w:rPr>
                <w:noProof/>
                <w:webHidden/>
              </w:rPr>
              <w:instrText xml:space="preserve"> PAGEREF _Toc445740016 \h </w:instrText>
            </w:r>
            <w:r w:rsidR="00217CB1">
              <w:rPr>
                <w:noProof/>
                <w:webHidden/>
              </w:rPr>
            </w:r>
            <w:r w:rsidR="00217CB1">
              <w:rPr>
                <w:noProof/>
                <w:webHidden/>
              </w:rPr>
              <w:fldChar w:fldCharType="separate"/>
            </w:r>
            <w:r w:rsidR="00217CB1">
              <w:rPr>
                <w:noProof/>
                <w:webHidden/>
              </w:rPr>
              <w:t>11</w:t>
            </w:r>
            <w:r w:rsidR="00217CB1">
              <w:rPr>
                <w:noProof/>
                <w:webHidden/>
              </w:rPr>
              <w:fldChar w:fldCharType="end"/>
            </w:r>
          </w:hyperlink>
        </w:p>
        <w:p w14:paraId="0509908C" w14:textId="77777777" w:rsidR="00217CB1" w:rsidRDefault="0000455A">
          <w:pPr>
            <w:pStyle w:val="TOC2"/>
            <w:tabs>
              <w:tab w:val="left" w:pos="880"/>
              <w:tab w:val="right" w:leader="dot" w:pos="8630"/>
            </w:tabs>
            <w:rPr>
              <w:rFonts w:cstheme="minorBidi"/>
              <w:noProof/>
              <w:lang w:eastAsia="zh-CN"/>
            </w:rPr>
          </w:pPr>
          <w:hyperlink w:anchor="_Toc445740017" w:history="1">
            <w:r w:rsidR="00217CB1" w:rsidRPr="00310739">
              <w:rPr>
                <w:rStyle w:val="Hyperlink"/>
                <w:b/>
                <w:i/>
                <w:noProof/>
              </w:rPr>
              <w:t>7.1</w:t>
            </w:r>
            <w:r w:rsidR="00217CB1">
              <w:rPr>
                <w:rFonts w:cstheme="minorBidi"/>
                <w:noProof/>
                <w:lang w:eastAsia="zh-CN"/>
              </w:rPr>
              <w:tab/>
            </w:r>
            <w:r w:rsidR="00217CB1" w:rsidRPr="00310739">
              <w:rPr>
                <w:rStyle w:val="Hyperlink"/>
                <w:b/>
                <w:i/>
                <w:noProof/>
              </w:rPr>
              <w:t>Textual Output of Parameters</w:t>
            </w:r>
            <w:r w:rsidR="00217CB1">
              <w:rPr>
                <w:noProof/>
                <w:webHidden/>
              </w:rPr>
              <w:tab/>
            </w:r>
            <w:r w:rsidR="00217CB1">
              <w:rPr>
                <w:noProof/>
                <w:webHidden/>
              </w:rPr>
              <w:fldChar w:fldCharType="begin"/>
            </w:r>
            <w:r w:rsidR="00217CB1">
              <w:rPr>
                <w:noProof/>
                <w:webHidden/>
              </w:rPr>
              <w:instrText xml:space="preserve"> PAGEREF _Toc445740017 \h </w:instrText>
            </w:r>
            <w:r w:rsidR="00217CB1">
              <w:rPr>
                <w:noProof/>
                <w:webHidden/>
              </w:rPr>
            </w:r>
            <w:r w:rsidR="00217CB1">
              <w:rPr>
                <w:noProof/>
                <w:webHidden/>
              </w:rPr>
              <w:fldChar w:fldCharType="separate"/>
            </w:r>
            <w:r w:rsidR="00217CB1">
              <w:rPr>
                <w:noProof/>
                <w:webHidden/>
              </w:rPr>
              <w:t>11</w:t>
            </w:r>
            <w:r w:rsidR="00217CB1">
              <w:rPr>
                <w:noProof/>
                <w:webHidden/>
              </w:rPr>
              <w:fldChar w:fldCharType="end"/>
            </w:r>
          </w:hyperlink>
        </w:p>
        <w:p w14:paraId="5AFB012E" w14:textId="77777777" w:rsidR="00217CB1" w:rsidRDefault="0000455A">
          <w:pPr>
            <w:pStyle w:val="TOC2"/>
            <w:tabs>
              <w:tab w:val="left" w:pos="880"/>
              <w:tab w:val="right" w:leader="dot" w:pos="8630"/>
            </w:tabs>
            <w:rPr>
              <w:rFonts w:cstheme="minorBidi"/>
              <w:noProof/>
              <w:lang w:eastAsia="zh-CN"/>
            </w:rPr>
          </w:pPr>
          <w:hyperlink w:anchor="_Toc445740018" w:history="1">
            <w:r w:rsidR="00217CB1" w:rsidRPr="00310739">
              <w:rPr>
                <w:rStyle w:val="Hyperlink"/>
                <w:b/>
                <w:i/>
                <w:noProof/>
              </w:rPr>
              <w:t>7.2</w:t>
            </w:r>
            <w:r w:rsidR="00217CB1">
              <w:rPr>
                <w:rFonts w:cstheme="minorBidi"/>
                <w:noProof/>
                <w:lang w:eastAsia="zh-CN"/>
              </w:rPr>
              <w:tab/>
            </w:r>
            <w:r w:rsidR="00217CB1" w:rsidRPr="00310739">
              <w:rPr>
                <w:rStyle w:val="Hyperlink"/>
                <w:b/>
                <w:i/>
                <w:noProof/>
              </w:rPr>
              <w:t>Interactive DR Plot</w:t>
            </w:r>
            <w:r w:rsidR="00217CB1">
              <w:rPr>
                <w:noProof/>
                <w:webHidden/>
              </w:rPr>
              <w:tab/>
            </w:r>
            <w:r w:rsidR="00217CB1">
              <w:rPr>
                <w:noProof/>
                <w:webHidden/>
              </w:rPr>
              <w:fldChar w:fldCharType="begin"/>
            </w:r>
            <w:r w:rsidR="00217CB1">
              <w:rPr>
                <w:noProof/>
                <w:webHidden/>
              </w:rPr>
              <w:instrText xml:space="preserve"> PAGEREF _Toc445740018 \h </w:instrText>
            </w:r>
            <w:r w:rsidR="00217CB1">
              <w:rPr>
                <w:noProof/>
                <w:webHidden/>
              </w:rPr>
            </w:r>
            <w:r w:rsidR="00217CB1">
              <w:rPr>
                <w:noProof/>
                <w:webHidden/>
              </w:rPr>
              <w:fldChar w:fldCharType="separate"/>
            </w:r>
            <w:r w:rsidR="00217CB1">
              <w:rPr>
                <w:noProof/>
                <w:webHidden/>
              </w:rPr>
              <w:t>11</w:t>
            </w:r>
            <w:r w:rsidR="00217CB1">
              <w:rPr>
                <w:noProof/>
                <w:webHidden/>
              </w:rPr>
              <w:fldChar w:fldCharType="end"/>
            </w:r>
          </w:hyperlink>
        </w:p>
        <w:p w14:paraId="6A6935FF" w14:textId="77777777" w:rsidR="00217CB1" w:rsidRDefault="0000455A">
          <w:pPr>
            <w:pStyle w:val="TOC2"/>
            <w:tabs>
              <w:tab w:val="left" w:pos="880"/>
              <w:tab w:val="right" w:leader="dot" w:pos="8630"/>
            </w:tabs>
            <w:rPr>
              <w:rFonts w:cstheme="minorBidi"/>
              <w:noProof/>
              <w:lang w:eastAsia="zh-CN"/>
            </w:rPr>
          </w:pPr>
          <w:hyperlink w:anchor="_Toc445740019" w:history="1">
            <w:r w:rsidR="00217CB1" w:rsidRPr="00310739">
              <w:rPr>
                <w:rStyle w:val="Hyperlink"/>
                <w:b/>
                <w:i/>
                <w:noProof/>
              </w:rPr>
              <w:t>7.3</w:t>
            </w:r>
            <w:r w:rsidR="00217CB1">
              <w:rPr>
                <w:rFonts w:cstheme="minorBidi"/>
                <w:noProof/>
                <w:lang w:eastAsia="zh-CN"/>
              </w:rPr>
              <w:tab/>
            </w:r>
            <w:r w:rsidR="00217CB1" w:rsidRPr="00310739">
              <w:rPr>
                <w:rStyle w:val="Hyperlink"/>
                <w:b/>
                <w:i/>
                <w:noProof/>
              </w:rPr>
              <w:t>Posterior Predictive P-value</w:t>
            </w:r>
            <w:r w:rsidR="00217CB1">
              <w:rPr>
                <w:noProof/>
                <w:webHidden/>
              </w:rPr>
              <w:tab/>
            </w:r>
            <w:r w:rsidR="00217CB1">
              <w:rPr>
                <w:noProof/>
                <w:webHidden/>
              </w:rPr>
              <w:fldChar w:fldCharType="begin"/>
            </w:r>
            <w:r w:rsidR="00217CB1">
              <w:rPr>
                <w:noProof/>
                <w:webHidden/>
              </w:rPr>
              <w:instrText xml:space="preserve"> PAGEREF _Toc445740019 \h </w:instrText>
            </w:r>
            <w:r w:rsidR="00217CB1">
              <w:rPr>
                <w:noProof/>
                <w:webHidden/>
              </w:rPr>
            </w:r>
            <w:r w:rsidR="00217CB1">
              <w:rPr>
                <w:noProof/>
                <w:webHidden/>
              </w:rPr>
              <w:fldChar w:fldCharType="separate"/>
            </w:r>
            <w:r w:rsidR="00217CB1">
              <w:rPr>
                <w:noProof/>
                <w:webHidden/>
              </w:rPr>
              <w:t>11</w:t>
            </w:r>
            <w:r w:rsidR="00217CB1">
              <w:rPr>
                <w:noProof/>
                <w:webHidden/>
              </w:rPr>
              <w:fldChar w:fldCharType="end"/>
            </w:r>
          </w:hyperlink>
        </w:p>
        <w:p w14:paraId="6149743E" w14:textId="77777777" w:rsidR="00217CB1" w:rsidRDefault="0000455A">
          <w:pPr>
            <w:pStyle w:val="TOC2"/>
            <w:tabs>
              <w:tab w:val="left" w:pos="880"/>
              <w:tab w:val="right" w:leader="dot" w:pos="8630"/>
            </w:tabs>
            <w:rPr>
              <w:rFonts w:cstheme="minorBidi"/>
              <w:noProof/>
              <w:lang w:eastAsia="zh-CN"/>
            </w:rPr>
          </w:pPr>
          <w:hyperlink w:anchor="_Toc445740020" w:history="1">
            <w:r w:rsidR="00217CB1" w:rsidRPr="00310739">
              <w:rPr>
                <w:rStyle w:val="Hyperlink"/>
                <w:b/>
                <w:i/>
                <w:noProof/>
              </w:rPr>
              <w:t>7.4</w:t>
            </w:r>
            <w:r w:rsidR="00217CB1">
              <w:rPr>
                <w:rFonts w:cstheme="minorBidi"/>
                <w:noProof/>
                <w:lang w:eastAsia="zh-CN"/>
              </w:rPr>
              <w:tab/>
            </w:r>
            <w:r w:rsidR="00217CB1" w:rsidRPr="00310739">
              <w:rPr>
                <w:rStyle w:val="Hyperlink"/>
                <w:b/>
                <w:i/>
                <w:noProof/>
              </w:rPr>
              <w:t>Model Weight Calculation</w:t>
            </w:r>
            <w:r w:rsidR="00217CB1">
              <w:rPr>
                <w:noProof/>
                <w:webHidden/>
              </w:rPr>
              <w:tab/>
            </w:r>
            <w:r w:rsidR="00217CB1">
              <w:rPr>
                <w:noProof/>
                <w:webHidden/>
              </w:rPr>
              <w:fldChar w:fldCharType="begin"/>
            </w:r>
            <w:r w:rsidR="00217CB1">
              <w:rPr>
                <w:noProof/>
                <w:webHidden/>
              </w:rPr>
              <w:instrText xml:space="preserve"> PAGEREF _Toc445740020 \h </w:instrText>
            </w:r>
            <w:r w:rsidR="00217CB1">
              <w:rPr>
                <w:noProof/>
                <w:webHidden/>
              </w:rPr>
            </w:r>
            <w:r w:rsidR="00217CB1">
              <w:rPr>
                <w:noProof/>
                <w:webHidden/>
              </w:rPr>
              <w:fldChar w:fldCharType="separate"/>
            </w:r>
            <w:r w:rsidR="00217CB1">
              <w:rPr>
                <w:noProof/>
                <w:webHidden/>
              </w:rPr>
              <w:t>12</w:t>
            </w:r>
            <w:r w:rsidR="00217CB1">
              <w:rPr>
                <w:noProof/>
                <w:webHidden/>
              </w:rPr>
              <w:fldChar w:fldCharType="end"/>
            </w:r>
          </w:hyperlink>
        </w:p>
        <w:p w14:paraId="59FD4AFC" w14:textId="77777777" w:rsidR="00217CB1" w:rsidRDefault="0000455A">
          <w:pPr>
            <w:pStyle w:val="TOC2"/>
            <w:tabs>
              <w:tab w:val="left" w:pos="880"/>
              <w:tab w:val="right" w:leader="dot" w:pos="8630"/>
            </w:tabs>
            <w:rPr>
              <w:rFonts w:cstheme="minorBidi"/>
              <w:noProof/>
              <w:lang w:eastAsia="zh-CN"/>
            </w:rPr>
          </w:pPr>
          <w:hyperlink w:anchor="_Toc445740021" w:history="1">
            <w:r w:rsidR="00217CB1" w:rsidRPr="00310739">
              <w:rPr>
                <w:rStyle w:val="Hyperlink"/>
                <w:b/>
                <w:i/>
                <w:noProof/>
              </w:rPr>
              <w:t>7.5</w:t>
            </w:r>
            <w:r w:rsidR="00217CB1">
              <w:rPr>
                <w:rFonts w:cstheme="minorBidi"/>
                <w:noProof/>
                <w:lang w:eastAsia="zh-CN"/>
              </w:rPr>
              <w:tab/>
            </w:r>
            <w:r w:rsidR="00217CB1" w:rsidRPr="00310739">
              <w:rPr>
                <w:rStyle w:val="Hyperlink"/>
                <w:b/>
                <w:i/>
                <w:noProof/>
              </w:rPr>
              <w:t>Other features</w:t>
            </w:r>
            <w:r w:rsidR="00217CB1">
              <w:rPr>
                <w:noProof/>
                <w:webHidden/>
              </w:rPr>
              <w:tab/>
            </w:r>
            <w:r w:rsidR="00217CB1">
              <w:rPr>
                <w:noProof/>
                <w:webHidden/>
              </w:rPr>
              <w:fldChar w:fldCharType="begin"/>
            </w:r>
            <w:r w:rsidR="00217CB1">
              <w:rPr>
                <w:noProof/>
                <w:webHidden/>
              </w:rPr>
              <w:instrText xml:space="preserve"> PAGEREF _Toc445740021 \h </w:instrText>
            </w:r>
            <w:r w:rsidR="00217CB1">
              <w:rPr>
                <w:noProof/>
                <w:webHidden/>
              </w:rPr>
            </w:r>
            <w:r w:rsidR="00217CB1">
              <w:rPr>
                <w:noProof/>
                <w:webHidden/>
              </w:rPr>
              <w:fldChar w:fldCharType="separate"/>
            </w:r>
            <w:r w:rsidR="00217CB1">
              <w:rPr>
                <w:noProof/>
                <w:webHidden/>
              </w:rPr>
              <w:t>12</w:t>
            </w:r>
            <w:r w:rsidR="00217CB1">
              <w:rPr>
                <w:noProof/>
                <w:webHidden/>
              </w:rPr>
              <w:fldChar w:fldCharType="end"/>
            </w:r>
          </w:hyperlink>
        </w:p>
        <w:p w14:paraId="653284EE" w14:textId="77777777" w:rsidR="00217CB1" w:rsidRDefault="0000455A">
          <w:pPr>
            <w:pStyle w:val="TOC1"/>
            <w:tabs>
              <w:tab w:val="left" w:pos="440"/>
              <w:tab w:val="right" w:leader="dot" w:pos="8630"/>
            </w:tabs>
            <w:rPr>
              <w:rFonts w:cstheme="minorBidi"/>
              <w:noProof/>
              <w:lang w:eastAsia="zh-CN"/>
            </w:rPr>
          </w:pPr>
          <w:hyperlink w:anchor="_Toc445740022" w:history="1">
            <w:r w:rsidR="00217CB1" w:rsidRPr="00310739">
              <w:rPr>
                <w:rStyle w:val="Hyperlink"/>
                <w:b/>
                <w:noProof/>
              </w:rPr>
              <w:t>8.</w:t>
            </w:r>
            <w:r w:rsidR="00217CB1">
              <w:rPr>
                <w:rFonts w:cstheme="minorBidi"/>
                <w:noProof/>
                <w:lang w:eastAsia="zh-CN"/>
              </w:rPr>
              <w:tab/>
            </w:r>
            <w:r w:rsidR="00217CB1" w:rsidRPr="00310739">
              <w:rPr>
                <w:rStyle w:val="Hyperlink"/>
                <w:b/>
                <w:noProof/>
              </w:rPr>
              <w:t>BMD Estimates</w:t>
            </w:r>
            <w:r w:rsidR="00217CB1">
              <w:rPr>
                <w:noProof/>
                <w:webHidden/>
              </w:rPr>
              <w:tab/>
            </w:r>
            <w:r w:rsidR="00217CB1">
              <w:rPr>
                <w:noProof/>
                <w:webHidden/>
              </w:rPr>
              <w:fldChar w:fldCharType="begin"/>
            </w:r>
            <w:r w:rsidR="00217CB1">
              <w:rPr>
                <w:noProof/>
                <w:webHidden/>
              </w:rPr>
              <w:instrText xml:space="preserve"> PAGEREF _Toc445740022 \h </w:instrText>
            </w:r>
            <w:r w:rsidR="00217CB1">
              <w:rPr>
                <w:noProof/>
                <w:webHidden/>
              </w:rPr>
            </w:r>
            <w:r w:rsidR="00217CB1">
              <w:rPr>
                <w:noProof/>
                <w:webHidden/>
              </w:rPr>
              <w:fldChar w:fldCharType="separate"/>
            </w:r>
            <w:r w:rsidR="00217CB1">
              <w:rPr>
                <w:noProof/>
                <w:webHidden/>
              </w:rPr>
              <w:t>13</w:t>
            </w:r>
            <w:r w:rsidR="00217CB1">
              <w:rPr>
                <w:noProof/>
                <w:webHidden/>
              </w:rPr>
              <w:fldChar w:fldCharType="end"/>
            </w:r>
          </w:hyperlink>
        </w:p>
        <w:p w14:paraId="5E228111" w14:textId="77777777" w:rsidR="00217CB1" w:rsidRDefault="0000455A">
          <w:pPr>
            <w:pStyle w:val="TOC2"/>
            <w:tabs>
              <w:tab w:val="left" w:pos="880"/>
              <w:tab w:val="right" w:leader="dot" w:pos="8630"/>
            </w:tabs>
            <w:rPr>
              <w:rFonts w:cstheme="minorBidi"/>
              <w:noProof/>
              <w:lang w:eastAsia="zh-CN"/>
            </w:rPr>
          </w:pPr>
          <w:hyperlink w:anchor="_Toc445740023" w:history="1">
            <w:r w:rsidR="00217CB1" w:rsidRPr="00310739">
              <w:rPr>
                <w:rStyle w:val="Hyperlink"/>
                <w:b/>
                <w:i/>
                <w:noProof/>
              </w:rPr>
              <w:t>8.1</w:t>
            </w:r>
            <w:r w:rsidR="00217CB1">
              <w:rPr>
                <w:rFonts w:cstheme="minorBidi"/>
                <w:noProof/>
                <w:lang w:eastAsia="zh-CN"/>
              </w:rPr>
              <w:tab/>
            </w:r>
            <w:r w:rsidR="00217CB1" w:rsidRPr="00310739">
              <w:rPr>
                <w:rStyle w:val="Hyperlink"/>
                <w:b/>
                <w:i/>
                <w:noProof/>
              </w:rPr>
              <w:t>BMD calculation for dichotomous data</w:t>
            </w:r>
            <w:r w:rsidR="00217CB1">
              <w:rPr>
                <w:noProof/>
                <w:webHidden/>
              </w:rPr>
              <w:tab/>
            </w:r>
            <w:r w:rsidR="00217CB1">
              <w:rPr>
                <w:noProof/>
                <w:webHidden/>
              </w:rPr>
              <w:fldChar w:fldCharType="begin"/>
            </w:r>
            <w:r w:rsidR="00217CB1">
              <w:rPr>
                <w:noProof/>
                <w:webHidden/>
              </w:rPr>
              <w:instrText xml:space="preserve"> PAGEREF _Toc445740023 \h </w:instrText>
            </w:r>
            <w:r w:rsidR="00217CB1">
              <w:rPr>
                <w:noProof/>
                <w:webHidden/>
              </w:rPr>
            </w:r>
            <w:r w:rsidR="00217CB1">
              <w:rPr>
                <w:noProof/>
                <w:webHidden/>
              </w:rPr>
              <w:fldChar w:fldCharType="separate"/>
            </w:r>
            <w:r w:rsidR="00217CB1">
              <w:rPr>
                <w:noProof/>
                <w:webHidden/>
              </w:rPr>
              <w:t>13</w:t>
            </w:r>
            <w:r w:rsidR="00217CB1">
              <w:rPr>
                <w:noProof/>
                <w:webHidden/>
              </w:rPr>
              <w:fldChar w:fldCharType="end"/>
            </w:r>
          </w:hyperlink>
        </w:p>
        <w:p w14:paraId="6CBE4483" w14:textId="77777777" w:rsidR="00217CB1" w:rsidRDefault="0000455A">
          <w:pPr>
            <w:pStyle w:val="TOC2"/>
            <w:tabs>
              <w:tab w:val="left" w:pos="880"/>
              <w:tab w:val="right" w:leader="dot" w:pos="8630"/>
            </w:tabs>
            <w:rPr>
              <w:rFonts w:cstheme="minorBidi"/>
              <w:noProof/>
              <w:lang w:eastAsia="zh-CN"/>
            </w:rPr>
          </w:pPr>
          <w:hyperlink w:anchor="_Toc445740024" w:history="1">
            <w:r w:rsidR="00217CB1" w:rsidRPr="00310739">
              <w:rPr>
                <w:rStyle w:val="Hyperlink"/>
                <w:b/>
                <w:i/>
                <w:noProof/>
              </w:rPr>
              <w:t>8.2</w:t>
            </w:r>
            <w:r w:rsidR="00217CB1">
              <w:rPr>
                <w:rFonts w:cstheme="minorBidi"/>
                <w:noProof/>
                <w:lang w:eastAsia="zh-CN"/>
              </w:rPr>
              <w:tab/>
            </w:r>
            <w:r w:rsidR="00217CB1" w:rsidRPr="00310739">
              <w:rPr>
                <w:rStyle w:val="Hyperlink"/>
                <w:b/>
                <w:i/>
                <w:noProof/>
              </w:rPr>
              <w:t>BMD calculation for continuous data</w:t>
            </w:r>
            <w:r w:rsidR="00217CB1">
              <w:rPr>
                <w:noProof/>
                <w:webHidden/>
              </w:rPr>
              <w:tab/>
            </w:r>
            <w:r w:rsidR="00217CB1">
              <w:rPr>
                <w:noProof/>
                <w:webHidden/>
              </w:rPr>
              <w:fldChar w:fldCharType="begin"/>
            </w:r>
            <w:r w:rsidR="00217CB1">
              <w:rPr>
                <w:noProof/>
                <w:webHidden/>
              </w:rPr>
              <w:instrText xml:space="preserve"> PAGEREF _Toc445740024 \h </w:instrText>
            </w:r>
            <w:r w:rsidR="00217CB1">
              <w:rPr>
                <w:noProof/>
                <w:webHidden/>
              </w:rPr>
            </w:r>
            <w:r w:rsidR="00217CB1">
              <w:rPr>
                <w:noProof/>
                <w:webHidden/>
              </w:rPr>
              <w:fldChar w:fldCharType="separate"/>
            </w:r>
            <w:r w:rsidR="00217CB1">
              <w:rPr>
                <w:noProof/>
                <w:webHidden/>
              </w:rPr>
              <w:t>13</w:t>
            </w:r>
            <w:r w:rsidR="00217CB1">
              <w:rPr>
                <w:noProof/>
                <w:webHidden/>
              </w:rPr>
              <w:fldChar w:fldCharType="end"/>
            </w:r>
          </w:hyperlink>
        </w:p>
        <w:p w14:paraId="5A573F8A" w14:textId="77777777" w:rsidR="00217CB1" w:rsidRDefault="0000455A">
          <w:pPr>
            <w:pStyle w:val="TOC2"/>
            <w:tabs>
              <w:tab w:val="left" w:pos="880"/>
              <w:tab w:val="right" w:leader="dot" w:pos="8630"/>
            </w:tabs>
            <w:rPr>
              <w:rFonts w:cstheme="minorBidi"/>
              <w:noProof/>
              <w:lang w:eastAsia="zh-CN"/>
            </w:rPr>
          </w:pPr>
          <w:hyperlink w:anchor="_Toc445740025" w:history="1">
            <w:r w:rsidR="00217CB1" w:rsidRPr="00310739">
              <w:rPr>
                <w:rStyle w:val="Hyperlink"/>
                <w:b/>
                <w:i/>
                <w:noProof/>
              </w:rPr>
              <w:t>8.3</w:t>
            </w:r>
            <w:r w:rsidR="00217CB1">
              <w:rPr>
                <w:rFonts w:cstheme="minorBidi"/>
                <w:noProof/>
                <w:lang w:eastAsia="zh-CN"/>
              </w:rPr>
              <w:tab/>
            </w:r>
            <w:r w:rsidR="00217CB1" w:rsidRPr="00310739">
              <w:rPr>
                <w:rStyle w:val="Hyperlink"/>
                <w:b/>
                <w:i/>
                <w:noProof/>
              </w:rPr>
              <w:t>Posterior model weight calculation</w:t>
            </w:r>
            <w:r w:rsidR="00217CB1">
              <w:rPr>
                <w:noProof/>
                <w:webHidden/>
              </w:rPr>
              <w:tab/>
            </w:r>
            <w:r w:rsidR="00217CB1">
              <w:rPr>
                <w:noProof/>
                <w:webHidden/>
              </w:rPr>
              <w:fldChar w:fldCharType="begin"/>
            </w:r>
            <w:r w:rsidR="00217CB1">
              <w:rPr>
                <w:noProof/>
                <w:webHidden/>
              </w:rPr>
              <w:instrText xml:space="preserve"> PAGEREF _Toc445740025 \h </w:instrText>
            </w:r>
            <w:r w:rsidR="00217CB1">
              <w:rPr>
                <w:noProof/>
                <w:webHidden/>
              </w:rPr>
            </w:r>
            <w:r w:rsidR="00217CB1">
              <w:rPr>
                <w:noProof/>
                <w:webHidden/>
              </w:rPr>
              <w:fldChar w:fldCharType="separate"/>
            </w:r>
            <w:r w:rsidR="00217CB1">
              <w:rPr>
                <w:noProof/>
                <w:webHidden/>
              </w:rPr>
              <w:t>15</w:t>
            </w:r>
            <w:r w:rsidR="00217CB1">
              <w:rPr>
                <w:noProof/>
                <w:webHidden/>
              </w:rPr>
              <w:fldChar w:fldCharType="end"/>
            </w:r>
          </w:hyperlink>
        </w:p>
        <w:p w14:paraId="602D64FA" w14:textId="77777777" w:rsidR="00217CB1" w:rsidRDefault="0000455A">
          <w:pPr>
            <w:pStyle w:val="TOC2"/>
            <w:tabs>
              <w:tab w:val="left" w:pos="880"/>
              <w:tab w:val="right" w:leader="dot" w:pos="8630"/>
            </w:tabs>
            <w:rPr>
              <w:rFonts w:cstheme="minorBidi"/>
              <w:noProof/>
              <w:lang w:eastAsia="zh-CN"/>
            </w:rPr>
          </w:pPr>
          <w:hyperlink w:anchor="_Toc445740026" w:history="1">
            <w:r w:rsidR="00217CB1" w:rsidRPr="00310739">
              <w:rPr>
                <w:rStyle w:val="Hyperlink"/>
                <w:b/>
                <w:i/>
                <w:noProof/>
              </w:rPr>
              <w:t>8.4</w:t>
            </w:r>
            <w:r w:rsidR="00217CB1">
              <w:rPr>
                <w:rFonts w:cstheme="minorBidi"/>
                <w:noProof/>
                <w:lang w:eastAsia="zh-CN"/>
              </w:rPr>
              <w:tab/>
            </w:r>
            <w:r w:rsidR="00217CB1" w:rsidRPr="00310739">
              <w:rPr>
                <w:rStyle w:val="Hyperlink"/>
                <w:b/>
                <w:i/>
                <w:noProof/>
              </w:rPr>
              <w:t>Model Averaged BMD calculation</w:t>
            </w:r>
            <w:r w:rsidR="00217CB1">
              <w:rPr>
                <w:noProof/>
                <w:webHidden/>
              </w:rPr>
              <w:tab/>
            </w:r>
            <w:r w:rsidR="00217CB1">
              <w:rPr>
                <w:noProof/>
                <w:webHidden/>
              </w:rPr>
              <w:fldChar w:fldCharType="begin"/>
            </w:r>
            <w:r w:rsidR="00217CB1">
              <w:rPr>
                <w:noProof/>
                <w:webHidden/>
              </w:rPr>
              <w:instrText xml:space="preserve"> PAGEREF _Toc445740026 \h </w:instrText>
            </w:r>
            <w:r w:rsidR="00217CB1">
              <w:rPr>
                <w:noProof/>
                <w:webHidden/>
              </w:rPr>
            </w:r>
            <w:r w:rsidR="00217CB1">
              <w:rPr>
                <w:noProof/>
                <w:webHidden/>
              </w:rPr>
              <w:fldChar w:fldCharType="separate"/>
            </w:r>
            <w:r w:rsidR="00217CB1">
              <w:rPr>
                <w:noProof/>
                <w:webHidden/>
              </w:rPr>
              <w:t>15</w:t>
            </w:r>
            <w:r w:rsidR="00217CB1">
              <w:rPr>
                <w:noProof/>
                <w:webHidden/>
              </w:rPr>
              <w:fldChar w:fldCharType="end"/>
            </w:r>
          </w:hyperlink>
        </w:p>
        <w:p w14:paraId="4887AE7A" w14:textId="77777777" w:rsidR="00217CB1" w:rsidRDefault="0000455A">
          <w:pPr>
            <w:pStyle w:val="TOC1"/>
            <w:tabs>
              <w:tab w:val="right" w:leader="dot" w:pos="8630"/>
            </w:tabs>
            <w:rPr>
              <w:rFonts w:cstheme="minorBidi"/>
              <w:noProof/>
              <w:lang w:eastAsia="zh-CN"/>
            </w:rPr>
          </w:pPr>
          <w:hyperlink w:anchor="_Toc445740027" w:history="1">
            <w:r w:rsidR="00217CB1" w:rsidRPr="00310739">
              <w:rPr>
                <w:rStyle w:val="Hyperlink"/>
                <w:b/>
                <w:noProof/>
              </w:rPr>
              <w:t>References</w:t>
            </w:r>
            <w:r w:rsidR="00217CB1">
              <w:rPr>
                <w:noProof/>
                <w:webHidden/>
              </w:rPr>
              <w:tab/>
            </w:r>
            <w:r w:rsidR="00217CB1">
              <w:rPr>
                <w:noProof/>
                <w:webHidden/>
              </w:rPr>
              <w:fldChar w:fldCharType="begin"/>
            </w:r>
            <w:r w:rsidR="00217CB1">
              <w:rPr>
                <w:noProof/>
                <w:webHidden/>
              </w:rPr>
              <w:instrText xml:space="preserve"> PAGEREF _Toc445740027 \h </w:instrText>
            </w:r>
            <w:r w:rsidR="00217CB1">
              <w:rPr>
                <w:noProof/>
                <w:webHidden/>
              </w:rPr>
            </w:r>
            <w:r w:rsidR="00217CB1">
              <w:rPr>
                <w:noProof/>
                <w:webHidden/>
              </w:rPr>
              <w:fldChar w:fldCharType="separate"/>
            </w:r>
            <w:r w:rsidR="00217CB1">
              <w:rPr>
                <w:noProof/>
                <w:webHidden/>
              </w:rPr>
              <w:t>15</w:t>
            </w:r>
            <w:r w:rsidR="00217CB1">
              <w:rPr>
                <w:noProof/>
                <w:webHidden/>
              </w:rPr>
              <w:fldChar w:fldCharType="end"/>
            </w:r>
          </w:hyperlink>
        </w:p>
        <w:p w14:paraId="74852E17" w14:textId="77777777" w:rsidR="005E2A5D" w:rsidRDefault="005E2A5D">
          <w:r>
            <w:rPr>
              <w:b/>
              <w:bCs/>
              <w:noProof/>
            </w:rPr>
            <w:fldChar w:fldCharType="end"/>
          </w:r>
        </w:p>
      </w:sdtContent>
    </w:sdt>
    <w:p w14:paraId="34462C28" w14:textId="77777777" w:rsidR="00A717EE" w:rsidRDefault="00A717EE" w:rsidP="00B36414">
      <w:pPr>
        <w:pStyle w:val="NoSpacing"/>
      </w:pPr>
    </w:p>
    <w:p w14:paraId="0318C17E" w14:textId="77777777" w:rsidR="00A717EE" w:rsidRDefault="00A717EE" w:rsidP="00B36414">
      <w:pPr>
        <w:pStyle w:val="NoSpacing"/>
      </w:pPr>
    </w:p>
    <w:p w14:paraId="67C3B2C6" w14:textId="77777777" w:rsidR="00A717EE" w:rsidRDefault="00A717EE" w:rsidP="00B36414">
      <w:pPr>
        <w:pStyle w:val="NoSpacing"/>
      </w:pPr>
    </w:p>
    <w:p w14:paraId="59AE3205" w14:textId="77777777" w:rsidR="00A717EE" w:rsidRDefault="00A717EE" w:rsidP="00B36414">
      <w:pPr>
        <w:pStyle w:val="NoSpacing"/>
      </w:pPr>
    </w:p>
    <w:p w14:paraId="0AC1BD5D" w14:textId="77777777" w:rsidR="00A717EE" w:rsidRDefault="00A717EE" w:rsidP="00B36414">
      <w:pPr>
        <w:pStyle w:val="NoSpacing"/>
      </w:pPr>
    </w:p>
    <w:p w14:paraId="458A6091" w14:textId="77777777" w:rsidR="00FC4D3E" w:rsidRDefault="00FC4D3E" w:rsidP="00B36414">
      <w:pPr>
        <w:pStyle w:val="NoSpacing"/>
      </w:pPr>
    </w:p>
    <w:p w14:paraId="68A774F6" w14:textId="77777777" w:rsidR="00FC4D3E" w:rsidRDefault="00FC4D3E" w:rsidP="00B36414">
      <w:pPr>
        <w:pStyle w:val="NoSpacing"/>
      </w:pPr>
    </w:p>
    <w:p w14:paraId="7B3EFCD9" w14:textId="77777777" w:rsidR="00FC4D3E" w:rsidRDefault="00FC4D3E" w:rsidP="00B36414">
      <w:pPr>
        <w:pStyle w:val="NoSpacing"/>
      </w:pPr>
    </w:p>
    <w:p w14:paraId="3A76F7DC" w14:textId="77777777" w:rsidR="00FC4D3E" w:rsidRDefault="00FC4D3E" w:rsidP="00B36414">
      <w:pPr>
        <w:pStyle w:val="NoSpacing"/>
      </w:pPr>
    </w:p>
    <w:p w14:paraId="010F8379" w14:textId="77777777" w:rsidR="00FC4D3E" w:rsidRDefault="00FC4D3E" w:rsidP="00B36414">
      <w:pPr>
        <w:pStyle w:val="NoSpacing"/>
      </w:pPr>
    </w:p>
    <w:p w14:paraId="4A375A68" w14:textId="77777777" w:rsidR="00FC4D3E" w:rsidRDefault="00FC4D3E" w:rsidP="00B36414">
      <w:pPr>
        <w:pStyle w:val="NoSpacing"/>
      </w:pPr>
    </w:p>
    <w:p w14:paraId="48941329" w14:textId="77777777" w:rsidR="00A6485D" w:rsidRPr="00E63B5B" w:rsidRDefault="00A6485D" w:rsidP="005E2A5D">
      <w:pPr>
        <w:pStyle w:val="NoSpacing"/>
        <w:numPr>
          <w:ilvl w:val="0"/>
          <w:numId w:val="3"/>
        </w:numPr>
        <w:outlineLvl w:val="0"/>
        <w:rPr>
          <w:b/>
          <w:sz w:val="24"/>
        </w:rPr>
      </w:pPr>
      <w:bookmarkStart w:id="0" w:name="_Toc445740005"/>
      <w:r w:rsidRPr="00E63B5B">
        <w:rPr>
          <w:b/>
          <w:sz w:val="24"/>
        </w:rPr>
        <w:lastRenderedPageBreak/>
        <w:t>Login the System</w:t>
      </w:r>
      <w:bookmarkEnd w:id="0"/>
    </w:p>
    <w:p w14:paraId="73AFDB64" w14:textId="77777777" w:rsidR="00A6485D" w:rsidRDefault="00A6485D" w:rsidP="00A6485D">
      <w:pPr>
        <w:pStyle w:val="NoSpacing"/>
      </w:pPr>
    </w:p>
    <w:p w14:paraId="3C8080D1" w14:textId="77777777" w:rsidR="00A6485D" w:rsidRDefault="004E346A" w:rsidP="00DB0376">
      <w:pPr>
        <w:pStyle w:val="NoSpacing"/>
        <w:ind w:left="720"/>
      </w:pPr>
      <w:r>
        <w:t>If this is your first time use this system, you need to create an account and login to perform benchmark dose analysis</w:t>
      </w:r>
      <w:r w:rsidR="00DD63B2">
        <w:t xml:space="preserve"> by clicking “Log in” on the top right corner</w:t>
      </w:r>
      <w:r>
        <w:t xml:space="preserve">. </w:t>
      </w:r>
      <w:r w:rsidR="0017095D">
        <w:t>Or, you can use a</w:t>
      </w:r>
      <w:r w:rsidR="009A2417">
        <w:t xml:space="preserve"> test-account</w:t>
      </w:r>
      <w:r w:rsidR="0017095D">
        <w:t xml:space="preserve"> </w:t>
      </w:r>
      <w:r w:rsidR="00C8373E">
        <w:t>to test the website</w:t>
      </w:r>
      <w:r w:rsidR="00DD63B2">
        <w:t xml:space="preserve"> by clicking the “Login using test-account” </w:t>
      </w:r>
      <w:r w:rsidR="007E2F1A">
        <w:t>button</w:t>
      </w:r>
      <w:r w:rsidR="00C8373E">
        <w:t xml:space="preserve">. </w:t>
      </w:r>
    </w:p>
    <w:p w14:paraId="28DAA493" w14:textId="77777777" w:rsidR="00A6485D" w:rsidRDefault="00A6485D" w:rsidP="00A6485D">
      <w:pPr>
        <w:pStyle w:val="NoSpacing"/>
      </w:pPr>
    </w:p>
    <w:p w14:paraId="66E85C4A" w14:textId="77777777" w:rsidR="00E97945" w:rsidRDefault="00E97945" w:rsidP="00DB0376">
      <w:pPr>
        <w:pStyle w:val="NoSpacing"/>
        <w:ind w:left="720"/>
      </w:pPr>
      <w:r>
        <w:t xml:space="preserve">The </w:t>
      </w:r>
      <w:r w:rsidR="006B173C">
        <w:t xml:space="preserve">main </w:t>
      </w:r>
      <w:r>
        <w:t xml:space="preserve">benefit of </w:t>
      </w:r>
      <w:r w:rsidR="006B173C">
        <w:t xml:space="preserve">creating a personal account is that your previous analyses will be saved in your account for review or update. If you login the </w:t>
      </w:r>
      <w:r w:rsidR="007E2F1A">
        <w:t>test</w:t>
      </w:r>
      <w:r w:rsidR="006B173C">
        <w:t xml:space="preserve"> </w:t>
      </w:r>
      <w:r w:rsidR="006B173C" w:rsidRPr="006B173C">
        <w:t xml:space="preserve">account, you can </w:t>
      </w:r>
      <w:r w:rsidR="006B173C">
        <w:t xml:space="preserve">use </w:t>
      </w:r>
      <w:r w:rsidR="006B173C" w:rsidRPr="006B173C">
        <w:t xml:space="preserve">this account to test all the functions but results will be deleted </w:t>
      </w:r>
      <w:r w:rsidR="006B173C">
        <w:t>periodically</w:t>
      </w:r>
      <w:r w:rsidR="006B173C" w:rsidRPr="006B173C">
        <w:t xml:space="preserve">. Your analyses results may also be modified or deleted by other users of the </w:t>
      </w:r>
      <w:r w:rsidR="006B173C">
        <w:t>public</w:t>
      </w:r>
      <w:r w:rsidR="006B173C" w:rsidRPr="006B173C">
        <w:t xml:space="preserve"> account.</w:t>
      </w:r>
    </w:p>
    <w:p w14:paraId="7B296842" w14:textId="77777777" w:rsidR="00A6485D" w:rsidRDefault="00A6485D" w:rsidP="00A6485D">
      <w:pPr>
        <w:pStyle w:val="NoSpacing"/>
      </w:pPr>
    </w:p>
    <w:p w14:paraId="7E91A2F6" w14:textId="77777777" w:rsidR="006D74C2" w:rsidRPr="00DB0376" w:rsidRDefault="008F5EA4" w:rsidP="005E2A5D">
      <w:pPr>
        <w:pStyle w:val="NoSpacing"/>
        <w:numPr>
          <w:ilvl w:val="0"/>
          <w:numId w:val="3"/>
        </w:numPr>
        <w:outlineLvl w:val="0"/>
        <w:rPr>
          <w:b/>
          <w:sz w:val="24"/>
        </w:rPr>
      </w:pPr>
      <w:bookmarkStart w:id="1" w:name="_Toc445740006"/>
      <w:r>
        <w:rPr>
          <w:b/>
          <w:sz w:val="24"/>
        </w:rPr>
        <w:t>Start a New</w:t>
      </w:r>
      <w:r w:rsidR="006D74C2" w:rsidRPr="00DB0376">
        <w:rPr>
          <w:b/>
          <w:sz w:val="24"/>
        </w:rPr>
        <w:t xml:space="preserve"> Analysis</w:t>
      </w:r>
      <w:r>
        <w:rPr>
          <w:b/>
          <w:sz w:val="24"/>
        </w:rPr>
        <w:t xml:space="preserve"> or Update an Existing Analysis</w:t>
      </w:r>
      <w:bookmarkEnd w:id="1"/>
    </w:p>
    <w:p w14:paraId="3425A24A" w14:textId="77777777" w:rsidR="003D03A8" w:rsidRDefault="003D03A8" w:rsidP="003D03A8">
      <w:pPr>
        <w:pStyle w:val="NoSpacing"/>
        <w:ind w:left="720"/>
      </w:pPr>
      <w:r>
        <w:t xml:space="preserve">Once logged in, you reach the page with options to access previous analyses (if you have any) or to start a new </w:t>
      </w:r>
      <w:r w:rsidR="00E84B3C">
        <w:t>analysis by pressing “New run” on the top right corner.</w:t>
      </w:r>
    </w:p>
    <w:p w14:paraId="22CFD284" w14:textId="77777777" w:rsidR="008F5EA4" w:rsidRDefault="008F5EA4" w:rsidP="003D03A8">
      <w:pPr>
        <w:pStyle w:val="NoSpacing"/>
        <w:ind w:left="720"/>
      </w:pPr>
    </w:p>
    <w:p w14:paraId="19CBDF6E" w14:textId="77777777" w:rsidR="008F5EA4" w:rsidRDefault="008F5EA4" w:rsidP="003D03A8">
      <w:pPr>
        <w:pStyle w:val="NoSpacing"/>
        <w:ind w:left="720"/>
      </w:pPr>
      <w:r>
        <w:t xml:space="preserve">If you select one of your previous analyses, </w:t>
      </w:r>
      <w:r w:rsidR="003B6A99">
        <w:t xml:space="preserve">you can review the results in this previous analysis. You have two action options for this analysis using the pull-down menu on the upper-right corner: “update” or “delete”. If you want to </w:t>
      </w:r>
      <w:r w:rsidR="00332A24">
        <w:t>update an existing analysis, you basically need to use the same procedure as running a new analysis, which will be introduced in following sections.</w:t>
      </w:r>
    </w:p>
    <w:p w14:paraId="3D4751C2" w14:textId="77777777" w:rsidR="00332A24" w:rsidRDefault="00332A24" w:rsidP="003D03A8">
      <w:pPr>
        <w:pStyle w:val="NoSpacing"/>
        <w:ind w:left="720"/>
      </w:pPr>
    </w:p>
    <w:p w14:paraId="74184E4C" w14:textId="77777777" w:rsidR="00332A24" w:rsidRDefault="00332A24" w:rsidP="003D03A8">
      <w:pPr>
        <w:pStyle w:val="NoSpacing"/>
        <w:ind w:left="720"/>
      </w:pPr>
      <w:r>
        <w:t>If you select “New run”, please follow the introductions below to finish a new analysis.</w:t>
      </w:r>
    </w:p>
    <w:p w14:paraId="6380BD1B" w14:textId="77777777" w:rsidR="003D03A8" w:rsidRDefault="003D03A8" w:rsidP="003D03A8">
      <w:pPr>
        <w:pStyle w:val="NoSpacing"/>
      </w:pPr>
    </w:p>
    <w:p w14:paraId="5CE3AC9E" w14:textId="77777777" w:rsidR="00AF5FF5" w:rsidRDefault="00AF5FF5" w:rsidP="00A6485D">
      <w:pPr>
        <w:pStyle w:val="NoSpacing"/>
      </w:pPr>
    </w:p>
    <w:p w14:paraId="25621440" w14:textId="77777777" w:rsidR="0027531D" w:rsidRPr="00E63B5B" w:rsidRDefault="00FC4D3E" w:rsidP="005E2A5D">
      <w:pPr>
        <w:pStyle w:val="NoSpacing"/>
        <w:numPr>
          <w:ilvl w:val="0"/>
          <w:numId w:val="3"/>
        </w:numPr>
        <w:outlineLvl w:val="0"/>
        <w:rPr>
          <w:b/>
          <w:sz w:val="24"/>
        </w:rPr>
      </w:pPr>
      <w:bookmarkStart w:id="2" w:name="_Toc445740007"/>
      <w:r w:rsidRPr="00E63B5B">
        <w:rPr>
          <w:b/>
          <w:sz w:val="24"/>
        </w:rPr>
        <w:t>Data Input</w:t>
      </w:r>
      <w:r w:rsidR="00C73C33" w:rsidRPr="00E63B5B">
        <w:rPr>
          <w:b/>
          <w:sz w:val="24"/>
        </w:rPr>
        <w:t xml:space="preserve"> and Pre-Analysis</w:t>
      </w:r>
      <w:bookmarkEnd w:id="2"/>
    </w:p>
    <w:p w14:paraId="3EAF8F7A" w14:textId="77777777" w:rsidR="00A6485D" w:rsidRDefault="00A6485D" w:rsidP="00A6485D">
      <w:pPr>
        <w:pStyle w:val="NoSpacing"/>
        <w:ind w:left="720"/>
      </w:pPr>
    </w:p>
    <w:p w14:paraId="702005F2" w14:textId="77777777" w:rsidR="00AF5FF5" w:rsidRPr="00EF6580" w:rsidRDefault="00AF5FF5" w:rsidP="005E2A5D">
      <w:pPr>
        <w:pStyle w:val="NoSpacing"/>
        <w:numPr>
          <w:ilvl w:val="1"/>
          <w:numId w:val="3"/>
        </w:numPr>
        <w:outlineLvl w:val="1"/>
        <w:rPr>
          <w:b/>
          <w:i/>
        </w:rPr>
      </w:pPr>
      <w:bookmarkStart w:id="3" w:name="_Toc445740008"/>
      <w:r w:rsidRPr="00EF6580">
        <w:rPr>
          <w:b/>
          <w:i/>
        </w:rPr>
        <w:t>Selection of Data Type</w:t>
      </w:r>
      <w:bookmarkEnd w:id="3"/>
    </w:p>
    <w:p w14:paraId="179111D3" w14:textId="3CBDF6A0" w:rsidR="002D0554" w:rsidRDefault="00AF5FF5" w:rsidP="00AF5FF5">
      <w:pPr>
        <w:pStyle w:val="NoSpacing"/>
        <w:ind w:left="720"/>
      </w:pPr>
      <w:r>
        <w:t>In the current version, the system is capable of analyzing the</w:t>
      </w:r>
      <w:r w:rsidR="00C14D55">
        <w:t xml:space="preserve"> following four types of dose-response data</w:t>
      </w:r>
      <w:r w:rsidR="002D0554">
        <w:t>:</w:t>
      </w:r>
    </w:p>
    <w:p w14:paraId="33657756" w14:textId="77777777" w:rsidR="002D0554" w:rsidRDefault="002D0554" w:rsidP="002D0554">
      <w:pPr>
        <w:pStyle w:val="NoSpacing"/>
        <w:numPr>
          <w:ilvl w:val="0"/>
          <w:numId w:val="8"/>
        </w:numPr>
      </w:pPr>
      <w:r>
        <w:t>Dichotomous summary: this type requires three values for each dose group (i.e., each input row): dose level, total number of subjects in that group, and the number of subjects affected</w:t>
      </w:r>
    </w:p>
    <w:p w14:paraId="569FF41C" w14:textId="00E3A686" w:rsidR="002D0554" w:rsidRDefault="002D0554" w:rsidP="002D0554">
      <w:pPr>
        <w:pStyle w:val="NoSpacing"/>
        <w:numPr>
          <w:ilvl w:val="0"/>
          <w:numId w:val="8"/>
        </w:numPr>
      </w:pPr>
      <w:r>
        <w:t xml:space="preserve">Dichotomous individual: this type requires two values for each input row </w:t>
      </w:r>
      <w:r w:rsidR="00BE3386">
        <w:t>(representing each subject</w:t>
      </w:r>
      <w:r>
        <w:t xml:space="preserve">): dose level, and “0” or “1” indicating </w:t>
      </w:r>
      <w:r w:rsidR="00BE3386">
        <w:t>that the subject is non-affected or affected respectively.</w:t>
      </w:r>
    </w:p>
    <w:p w14:paraId="5164B627" w14:textId="68A02CAA" w:rsidR="002D0554" w:rsidRDefault="002D0554" w:rsidP="002D0554">
      <w:pPr>
        <w:pStyle w:val="NoSpacing"/>
        <w:numPr>
          <w:ilvl w:val="0"/>
          <w:numId w:val="8"/>
        </w:numPr>
      </w:pPr>
      <w:r>
        <w:t>Continuous summary</w:t>
      </w:r>
      <w:r w:rsidR="00C14D55">
        <w:t xml:space="preserve">: this type requires </w:t>
      </w:r>
      <w:r w:rsidR="00F77971">
        <w:t>four colu</w:t>
      </w:r>
      <w:r w:rsidR="00D81563">
        <w:t>mns of data for each dose group</w:t>
      </w:r>
      <w:r w:rsidR="00F77971">
        <w:t>:</w:t>
      </w:r>
      <w:r w:rsidR="00D81563">
        <w:t xml:space="preserve"> dose level, number of subjects in the dose group, mean value of the response, and standard deviation or standard error of the response.</w:t>
      </w:r>
    </w:p>
    <w:p w14:paraId="1FACEA29" w14:textId="59E96C49" w:rsidR="00AF5FF5" w:rsidRDefault="002D0554" w:rsidP="002D0554">
      <w:pPr>
        <w:pStyle w:val="NoSpacing"/>
        <w:numPr>
          <w:ilvl w:val="0"/>
          <w:numId w:val="8"/>
        </w:numPr>
      </w:pPr>
      <w:r>
        <w:t>Continuous individual</w:t>
      </w:r>
      <w:r w:rsidR="00C14D55">
        <w:t xml:space="preserve">: </w:t>
      </w:r>
      <w:r w:rsidR="00D81563">
        <w:t xml:space="preserve"> this ty</w:t>
      </w:r>
      <w:r w:rsidR="007F5330">
        <w:t xml:space="preserve">pe requires two values for each input row representing each individual </w:t>
      </w:r>
      <w:r w:rsidR="007B0469">
        <w:t>subject: dose level and response</w:t>
      </w:r>
    </w:p>
    <w:p w14:paraId="479FE143" w14:textId="7B866E6F" w:rsidR="00AF5FF5" w:rsidRDefault="002D0554" w:rsidP="00AF5FF5">
      <w:pPr>
        <w:pStyle w:val="NoSpacing"/>
        <w:ind w:left="720"/>
      </w:pPr>
      <w:r>
        <w:t xml:space="preserve">The </w:t>
      </w:r>
      <w:r w:rsidR="00C14D55">
        <w:t xml:space="preserve">detailed </w:t>
      </w:r>
      <w:r w:rsidR="00D45830">
        <w:t>differences between these data types are</w:t>
      </w:r>
      <w:r w:rsidR="00C14D55">
        <w:t xml:space="preserve"> </w:t>
      </w:r>
      <w:r w:rsidR="007B0469">
        <w:t>explained in following sections.</w:t>
      </w:r>
    </w:p>
    <w:p w14:paraId="5B91B449" w14:textId="77777777" w:rsidR="002D0554" w:rsidRDefault="002D0554" w:rsidP="00AF5FF5">
      <w:pPr>
        <w:pStyle w:val="NoSpacing"/>
        <w:ind w:left="720"/>
      </w:pPr>
    </w:p>
    <w:p w14:paraId="7FBE3267" w14:textId="77777777" w:rsidR="00E63B5B" w:rsidRPr="00EF6580" w:rsidRDefault="00F9353B" w:rsidP="005E2A5D">
      <w:pPr>
        <w:pStyle w:val="NoSpacing"/>
        <w:numPr>
          <w:ilvl w:val="1"/>
          <w:numId w:val="3"/>
        </w:numPr>
        <w:outlineLvl w:val="1"/>
        <w:rPr>
          <w:b/>
          <w:i/>
        </w:rPr>
      </w:pPr>
      <w:bookmarkStart w:id="4" w:name="_Toc445740009"/>
      <w:r w:rsidRPr="00EF6580">
        <w:rPr>
          <w:b/>
          <w:i/>
        </w:rPr>
        <w:t>Data Input</w:t>
      </w:r>
      <w:bookmarkEnd w:id="4"/>
    </w:p>
    <w:p w14:paraId="3EA08A1C" w14:textId="624C32DB" w:rsidR="00745B91" w:rsidRDefault="00937FFD" w:rsidP="00F9353B">
      <w:pPr>
        <w:pStyle w:val="NoSpacing"/>
        <w:ind w:left="720"/>
      </w:pPr>
      <w:r>
        <w:t xml:space="preserve">(1) </w:t>
      </w:r>
      <w:r w:rsidR="00D45830">
        <w:t>On</w:t>
      </w:r>
      <w:r>
        <w:t>c</w:t>
      </w:r>
      <w:r w:rsidR="00D45830">
        <w:t>e you choose “Dichotomous summary” f</w:t>
      </w:r>
      <w:r w:rsidR="008278DD">
        <w:t xml:space="preserve">or dichotomous </w:t>
      </w:r>
      <w:r w:rsidR="00D45830">
        <w:t xml:space="preserve">summary </w:t>
      </w:r>
      <w:r w:rsidR="008278DD">
        <w:t xml:space="preserve">data, three columns </w:t>
      </w:r>
      <w:r w:rsidR="00745B91">
        <w:t xml:space="preserve">(from left to right) </w:t>
      </w:r>
      <w:r w:rsidR="008278DD">
        <w:t>are required</w:t>
      </w:r>
      <w:r w:rsidR="00D45830">
        <w:t xml:space="preserve"> for input</w:t>
      </w:r>
      <w:r w:rsidR="008278DD">
        <w:t xml:space="preserve">: dose level, </w:t>
      </w:r>
      <w:r w:rsidR="00D93311">
        <w:t xml:space="preserve">total number of subjects and number of </w:t>
      </w:r>
      <w:r w:rsidR="00AE7C42">
        <w:t>subjects affected.</w:t>
      </w:r>
      <w:r w:rsidR="00D14666">
        <w:t xml:space="preserve"> </w:t>
      </w:r>
      <w:r w:rsidR="00AC3876">
        <w:t>The values can be p</w:t>
      </w:r>
      <w:r w:rsidR="00AC3876" w:rsidRPr="008278DD">
        <w:t>aste</w:t>
      </w:r>
      <w:r w:rsidR="00AC3876">
        <w:t>d</w:t>
      </w:r>
      <w:r w:rsidR="00AC3876" w:rsidRPr="008278DD">
        <w:t xml:space="preserve"> </w:t>
      </w:r>
      <w:r w:rsidR="00AC3876">
        <w:t>o</w:t>
      </w:r>
      <w:r w:rsidR="00AC3876" w:rsidRPr="008278DD">
        <w:t>r manually type</w:t>
      </w:r>
      <w:r w:rsidR="00AC3876">
        <w:t>d</w:t>
      </w:r>
      <w:r w:rsidR="00AC3876" w:rsidRPr="008278DD">
        <w:t xml:space="preserve">, using </w:t>
      </w:r>
      <w:r w:rsidR="00AC3876" w:rsidRPr="008278DD">
        <w:lastRenderedPageBreak/>
        <w:t>spaces between values.</w:t>
      </w:r>
      <w:r w:rsidR="00AC3876">
        <w:t xml:space="preserve"> Different dose groups should be entered in different rows. </w:t>
      </w:r>
      <w:r w:rsidR="00D45830">
        <w:t xml:space="preserve">Below is an example dichotomous summary </w:t>
      </w:r>
      <w:r w:rsidR="00AC3876">
        <w:t>dataset:</w:t>
      </w:r>
    </w:p>
    <w:p w14:paraId="2FDF3535" w14:textId="77777777" w:rsidR="00AC3876" w:rsidRDefault="00AC3876" w:rsidP="00F9353B">
      <w:pPr>
        <w:pStyle w:val="NoSpacing"/>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719"/>
        <w:gridCol w:w="2720"/>
      </w:tblGrid>
      <w:tr w:rsidR="00650CF7" w14:paraId="073CD793" w14:textId="77777777" w:rsidTr="00650CF7">
        <w:tc>
          <w:tcPr>
            <w:tcW w:w="2876" w:type="dxa"/>
          </w:tcPr>
          <w:p w14:paraId="2108EE59" w14:textId="77777777" w:rsidR="00AC3876" w:rsidRDefault="00650CF7" w:rsidP="00650CF7">
            <w:pPr>
              <w:pStyle w:val="NoSpacing"/>
              <w:jc w:val="center"/>
            </w:pPr>
            <w:r>
              <w:t>(</w:t>
            </w:r>
            <w:r w:rsidR="00AC3876">
              <w:t>Dose</w:t>
            </w:r>
            <w:r>
              <w:t>)</w:t>
            </w:r>
          </w:p>
        </w:tc>
        <w:tc>
          <w:tcPr>
            <w:tcW w:w="2877" w:type="dxa"/>
          </w:tcPr>
          <w:p w14:paraId="6EAC99BB" w14:textId="77777777" w:rsidR="00AC3876" w:rsidRDefault="00650CF7" w:rsidP="00650CF7">
            <w:pPr>
              <w:pStyle w:val="NoSpacing"/>
              <w:jc w:val="center"/>
            </w:pPr>
            <w:r>
              <w:t>(</w:t>
            </w:r>
            <w:r w:rsidR="00AC3876">
              <w:t># of Subjects</w:t>
            </w:r>
            <w:r>
              <w:t>)</w:t>
            </w:r>
          </w:p>
        </w:tc>
        <w:tc>
          <w:tcPr>
            <w:tcW w:w="2877" w:type="dxa"/>
          </w:tcPr>
          <w:p w14:paraId="6E928D1F" w14:textId="77777777" w:rsidR="00AC3876" w:rsidRDefault="00650CF7" w:rsidP="00650CF7">
            <w:pPr>
              <w:pStyle w:val="NoSpacing"/>
              <w:jc w:val="center"/>
            </w:pPr>
            <w:r>
              <w:t>(</w:t>
            </w:r>
            <w:r w:rsidR="00AC3876">
              <w:t># of</w:t>
            </w:r>
            <w:r>
              <w:t xml:space="preserve"> Affected)</w:t>
            </w:r>
          </w:p>
        </w:tc>
      </w:tr>
      <w:tr w:rsidR="00650CF7" w14:paraId="5A66B91B" w14:textId="77777777" w:rsidTr="00650CF7">
        <w:tc>
          <w:tcPr>
            <w:tcW w:w="2876" w:type="dxa"/>
          </w:tcPr>
          <w:p w14:paraId="4426D8E0" w14:textId="77777777" w:rsidR="00AC3876" w:rsidRDefault="00650CF7" w:rsidP="00650CF7">
            <w:pPr>
              <w:pStyle w:val="NoSpacing"/>
              <w:jc w:val="center"/>
            </w:pPr>
            <w:r>
              <w:t>0</w:t>
            </w:r>
          </w:p>
        </w:tc>
        <w:tc>
          <w:tcPr>
            <w:tcW w:w="2877" w:type="dxa"/>
          </w:tcPr>
          <w:p w14:paraId="215AE53D" w14:textId="77777777" w:rsidR="00AC3876" w:rsidRDefault="00650CF7" w:rsidP="00650CF7">
            <w:pPr>
              <w:pStyle w:val="NoSpacing"/>
              <w:jc w:val="center"/>
            </w:pPr>
            <w:r>
              <w:t>50</w:t>
            </w:r>
          </w:p>
        </w:tc>
        <w:tc>
          <w:tcPr>
            <w:tcW w:w="2877" w:type="dxa"/>
          </w:tcPr>
          <w:p w14:paraId="37192329" w14:textId="77777777" w:rsidR="00AC3876" w:rsidRDefault="00650CF7" w:rsidP="00650CF7">
            <w:pPr>
              <w:pStyle w:val="NoSpacing"/>
              <w:jc w:val="center"/>
            </w:pPr>
            <w:r>
              <w:t>1</w:t>
            </w:r>
          </w:p>
        </w:tc>
      </w:tr>
      <w:tr w:rsidR="00650CF7" w14:paraId="21132CCA" w14:textId="77777777" w:rsidTr="00650CF7">
        <w:tc>
          <w:tcPr>
            <w:tcW w:w="2876" w:type="dxa"/>
          </w:tcPr>
          <w:p w14:paraId="31D81926" w14:textId="77777777" w:rsidR="00AC3876" w:rsidRDefault="00650CF7" w:rsidP="00650CF7">
            <w:pPr>
              <w:pStyle w:val="NoSpacing"/>
              <w:jc w:val="center"/>
            </w:pPr>
            <w:r>
              <w:t>15.5</w:t>
            </w:r>
          </w:p>
        </w:tc>
        <w:tc>
          <w:tcPr>
            <w:tcW w:w="2877" w:type="dxa"/>
          </w:tcPr>
          <w:p w14:paraId="4A49A690" w14:textId="77777777" w:rsidR="00AC3876" w:rsidRDefault="00650CF7" w:rsidP="00650CF7">
            <w:pPr>
              <w:pStyle w:val="NoSpacing"/>
              <w:jc w:val="center"/>
            </w:pPr>
            <w:r>
              <w:t>49</w:t>
            </w:r>
          </w:p>
        </w:tc>
        <w:tc>
          <w:tcPr>
            <w:tcW w:w="2877" w:type="dxa"/>
          </w:tcPr>
          <w:p w14:paraId="0687C166" w14:textId="77777777" w:rsidR="00AC3876" w:rsidRDefault="00650CF7" w:rsidP="00650CF7">
            <w:pPr>
              <w:pStyle w:val="NoSpacing"/>
              <w:jc w:val="center"/>
            </w:pPr>
            <w:r>
              <w:t>4</w:t>
            </w:r>
          </w:p>
        </w:tc>
      </w:tr>
      <w:tr w:rsidR="00650CF7" w14:paraId="2CAFD44E" w14:textId="77777777" w:rsidTr="00650CF7">
        <w:tc>
          <w:tcPr>
            <w:tcW w:w="2876" w:type="dxa"/>
          </w:tcPr>
          <w:p w14:paraId="77AA06D7" w14:textId="77777777" w:rsidR="00AC3876" w:rsidRDefault="00650CF7" w:rsidP="00650CF7">
            <w:pPr>
              <w:pStyle w:val="NoSpacing"/>
              <w:jc w:val="center"/>
            </w:pPr>
            <w:r>
              <w:t>30</w:t>
            </w:r>
          </w:p>
        </w:tc>
        <w:tc>
          <w:tcPr>
            <w:tcW w:w="2877" w:type="dxa"/>
          </w:tcPr>
          <w:p w14:paraId="50D54E8E" w14:textId="77777777" w:rsidR="00AC3876" w:rsidRDefault="00650CF7" w:rsidP="00650CF7">
            <w:pPr>
              <w:pStyle w:val="NoSpacing"/>
              <w:jc w:val="center"/>
            </w:pPr>
            <w:r>
              <w:t>50</w:t>
            </w:r>
          </w:p>
        </w:tc>
        <w:tc>
          <w:tcPr>
            <w:tcW w:w="2877" w:type="dxa"/>
          </w:tcPr>
          <w:p w14:paraId="22337F85" w14:textId="77777777" w:rsidR="00AC3876" w:rsidRDefault="00650CF7" w:rsidP="00650CF7">
            <w:pPr>
              <w:pStyle w:val="NoSpacing"/>
              <w:jc w:val="center"/>
            </w:pPr>
            <w:r>
              <w:t>8</w:t>
            </w:r>
          </w:p>
        </w:tc>
      </w:tr>
      <w:tr w:rsidR="00650CF7" w14:paraId="36EFCAD0" w14:textId="77777777" w:rsidTr="00650CF7">
        <w:tc>
          <w:tcPr>
            <w:tcW w:w="2876" w:type="dxa"/>
          </w:tcPr>
          <w:p w14:paraId="707076A5" w14:textId="77777777" w:rsidR="00AC3876" w:rsidRDefault="00650CF7" w:rsidP="00650CF7">
            <w:pPr>
              <w:pStyle w:val="NoSpacing"/>
              <w:jc w:val="center"/>
            </w:pPr>
            <w:r>
              <w:t>50.6</w:t>
            </w:r>
          </w:p>
        </w:tc>
        <w:tc>
          <w:tcPr>
            <w:tcW w:w="2877" w:type="dxa"/>
          </w:tcPr>
          <w:p w14:paraId="25848EA1" w14:textId="77777777" w:rsidR="00AC3876" w:rsidRDefault="00650CF7" w:rsidP="00650CF7">
            <w:pPr>
              <w:pStyle w:val="NoSpacing"/>
              <w:jc w:val="center"/>
            </w:pPr>
            <w:r>
              <w:t>48</w:t>
            </w:r>
          </w:p>
        </w:tc>
        <w:tc>
          <w:tcPr>
            <w:tcW w:w="2877" w:type="dxa"/>
          </w:tcPr>
          <w:p w14:paraId="69608589" w14:textId="77777777" w:rsidR="00AC3876" w:rsidRDefault="00650CF7" w:rsidP="00650CF7">
            <w:pPr>
              <w:pStyle w:val="NoSpacing"/>
              <w:jc w:val="center"/>
            </w:pPr>
            <w:r>
              <w:t>21</w:t>
            </w:r>
          </w:p>
        </w:tc>
      </w:tr>
    </w:tbl>
    <w:p w14:paraId="28445293" w14:textId="77777777" w:rsidR="00AC3876" w:rsidRDefault="00AC3876" w:rsidP="00F9353B">
      <w:pPr>
        <w:pStyle w:val="NoSpacing"/>
        <w:ind w:left="720"/>
      </w:pPr>
    </w:p>
    <w:p w14:paraId="20AFA9CC" w14:textId="0117219B" w:rsidR="00906B5E" w:rsidRDefault="00937FFD" w:rsidP="00F9353B">
      <w:pPr>
        <w:pStyle w:val="NoSpacing"/>
        <w:ind w:left="720"/>
      </w:pPr>
      <w:r>
        <w:t xml:space="preserve">(2) </w:t>
      </w:r>
      <w:r w:rsidR="00906B5E">
        <w:t>If you choose “Dichotomous individual”</w:t>
      </w:r>
      <w:r w:rsidR="00942CEE">
        <w:t>, two columns are required. The two columns from left to right are: dose and indicator (either “0” representing no effect or “1” representing with effect). Each row is used for each individual subject. An example of dichotomous individual data is shown below:</w:t>
      </w:r>
    </w:p>
    <w:p w14:paraId="69D86A0D" w14:textId="77777777" w:rsidR="00942CEE" w:rsidRDefault="00942CEE" w:rsidP="00F9353B">
      <w:pPr>
        <w:pStyle w:val="NoSpacing"/>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7"/>
        <w:gridCol w:w="4079"/>
      </w:tblGrid>
      <w:tr w:rsidR="00942CEE" w14:paraId="627237C8" w14:textId="77777777" w:rsidTr="00942CEE">
        <w:tc>
          <w:tcPr>
            <w:tcW w:w="4428" w:type="dxa"/>
          </w:tcPr>
          <w:p w14:paraId="3D22AA75" w14:textId="551766B3" w:rsidR="00942CEE" w:rsidRDefault="00942CEE" w:rsidP="00942CEE">
            <w:pPr>
              <w:pStyle w:val="NoSpacing"/>
              <w:jc w:val="center"/>
            </w:pPr>
            <w:r>
              <w:t>(Dose)</w:t>
            </w:r>
          </w:p>
        </w:tc>
        <w:tc>
          <w:tcPr>
            <w:tcW w:w="4428" w:type="dxa"/>
          </w:tcPr>
          <w:p w14:paraId="75F2108F" w14:textId="0C6DA115" w:rsidR="00942CEE" w:rsidRDefault="00942CEE" w:rsidP="00942CEE">
            <w:pPr>
              <w:pStyle w:val="NoSpacing"/>
              <w:jc w:val="center"/>
            </w:pPr>
            <w:r>
              <w:t>Indicator (0 or 1)</w:t>
            </w:r>
          </w:p>
        </w:tc>
      </w:tr>
      <w:tr w:rsidR="00942CEE" w14:paraId="55521CE8" w14:textId="77777777" w:rsidTr="00942CEE">
        <w:tc>
          <w:tcPr>
            <w:tcW w:w="4428" w:type="dxa"/>
          </w:tcPr>
          <w:p w14:paraId="52D2DAFB" w14:textId="4050E8B7" w:rsidR="00942CEE" w:rsidRDefault="00942CEE" w:rsidP="00942CEE">
            <w:pPr>
              <w:pStyle w:val="NoSpacing"/>
              <w:jc w:val="center"/>
            </w:pPr>
            <w:r>
              <w:t>0</w:t>
            </w:r>
          </w:p>
        </w:tc>
        <w:tc>
          <w:tcPr>
            <w:tcW w:w="4428" w:type="dxa"/>
          </w:tcPr>
          <w:p w14:paraId="7E27BB87" w14:textId="1ABA8612" w:rsidR="00942CEE" w:rsidRDefault="00942CEE" w:rsidP="00942CEE">
            <w:pPr>
              <w:pStyle w:val="NoSpacing"/>
              <w:jc w:val="center"/>
            </w:pPr>
            <w:r>
              <w:t>0</w:t>
            </w:r>
          </w:p>
        </w:tc>
      </w:tr>
      <w:tr w:rsidR="00942CEE" w14:paraId="1AECECA2" w14:textId="77777777" w:rsidTr="00942CEE">
        <w:tc>
          <w:tcPr>
            <w:tcW w:w="4428" w:type="dxa"/>
          </w:tcPr>
          <w:p w14:paraId="4A2BDBA7" w14:textId="7AFC8F71" w:rsidR="00942CEE" w:rsidRDefault="00942CEE" w:rsidP="00942CEE">
            <w:pPr>
              <w:pStyle w:val="NoSpacing"/>
              <w:jc w:val="center"/>
            </w:pPr>
            <w:r>
              <w:t>0</w:t>
            </w:r>
          </w:p>
        </w:tc>
        <w:tc>
          <w:tcPr>
            <w:tcW w:w="4428" w:type="dxa"/>
          </w:tcPr>
          <w:p w14:paraId="0F967AAD" w14:textId="00B62AB9" w:rsidR="00942CEE" w:rsidRDefault="00942CEE" w:rsidP="00942CEE">
            <w:pPr>
              <w:pStyle w:val="NoSpacing"/>
              <w:jc w:val="center"/>
            </w:pPr>
            <w:r>
              <w:t>0</w:t>
            </w:r>
          </w:p>
        </w:tc>
      </w:tr>
      <w:tr w:rsidR="00942CEE" w14:paraId="1DDFFFD0" w14:textId="77777777" w:rsidTr="00942CEE">
        <w:tc>
          <w:tcPr>
            <w:tcW w:w="4428" w:type="dxa"/>
          </w:tcPr>
          <w:p w14:paraId="0E3EB5A8" w14:textId="4617CF85" w:rsidR="00942CEE" w:rsidRDefault="00942CEE" w:rsidP="00942CEE">
            <w:pPr>
              <w:pStyle w:val="NoSpacing"/>
              <w:jc w:val="center"/>
            </w:pPr>
            <w:r>
              <w:t>0</w:t>
            </w:r>
          </w:p>
        </w:tc>
        <w:tc>
          <w:tcPr>
            <w:tcW w:w="4428" w:type="dxa"/>
          </w:tcPr>
          <w:p w14:paraId="16CBA75B" w14:textId="6791A7F0" w:rsidR="00942CEE" w:rsidRDefault="00942CEE" w:rsidP="00942CEE">
            <w:pPr>
              <w:pStyle w:val="NoSpacing"/>
              <w:jc w:val="center"/>
            </w:pPr>
            <w:r>
              <w:t>0</w:t>
            </w:r>
          </w:p>
        </w:tc>
      </w:tr>
      <w:tr w:rsidR="00942CEE" w14:paraId="50D0169D" w14:textId="77777777" w:rsidTr="00942CEE">
        <w:tc>
          <w:tcPr>
            <w:tcW w:w="4428" w:type="dxa"/>
          </w:tcPr>
          <w:p w14:paraId="3565996B" w14:textId="1A8109B2" w:rsidR="00942CEE" w:rsidRDefault="00942CEE" w:rsidP="00942CEE">
            <w:pPr>
              <w:pStyle w:val="NoSpacing"/>
              <w:jc w:val="center"/>
            </w:pPr>
            <w:r>
              <w:t>0</w:t>
            </w:r>
          </w:p>
        </w:tc>
        <w:tc>
          <w:tcPr>
            <w:tcW w:w="4428" w:type="dxa"/>
          </w:tcPr>
          <w:p w14:paraId="15BB62F5" w14:textId="59E48CE3" w:rsidR="00942CEE" w:rsidRDefault="00942CEE" w:rsidP="00942CEE">
            <w:pPr>
              <w:pStyle w:val="NoSpacing"/>
              <w:jc w:val="center"/>
            </w:pPr>
            <w:r>
              <w:t>1</w:t>
            </w:r>
          </w:p>
        </w:tc>
      </w:tr>
      <w:tr w:rsidR="00942CEE" w14:paraId="01423B13" w14:textId="77777777" w:rsidTr="00942CEE">
        <w:tc>
          <w:tcPr>
            <w:tcW w:w="4428" w:type="dxa"/>
          </w:tcPr>
          <w:p w14:paraId="5A00550F" w14:textId="635DA61D" w:rsidR="00942CEE" w:rsidRDefault="00942CEE" w:rsidP="00942CEE">
            <w:pPr>
              <w:pStyle w:val="NoSpacing"/>
              <w:jc w:val="center"/>
            </w:pPr>
            <w:r>
              <w:t>0</w:t>
            </w:r>
          </w:p>
        </w:tc>
        <w:tc>
          <w:tcPr>
            <w:tcW w:w="4428" w:type="dxa"/>
          </w:tcPr>
          <w:p w14:paraId="59CBF9FD" w14:textId="2FFDB895" w:rsidR="00942CEE" w:rsidRDefault="00942CEE" w:rsidP="00942CEE">
            <w:pPr>
              <w:pStyle w:val="NoSpacing"/>
              <w:jc w:val="center"/>
            </w:pPr>
            <w:r>
              <w:t>0</w:t>
            </w:r>
          </w:p>
        </w:tc>
      </w:tr>
      <w:tr w:rsidR="00942CEE" w14:paraId="454C191A" w14:textId="77777777" w:rsidTr="00942CEE">
        <w:tc>
          <w:tcPr>
            <w:tcW w:w="4428" w:type="dxa"/>
          </w:tcPr>
          <w:p w14:paraId="64E10B69" w14:textId="339EF6FC" w:rsidR="00942CEE" w:rsidRDefault="00942CEE" w:rsidP="00942CEE">
            <w:pPr>
              <w:pStyle w:val="NoSpacing"/>
              <w:jc w:val="center"/>
            </w:pPr>
            <w:r>
              <w:t>10</w:t>
            </w:r>
          </w:p>
        </w:tc>
        <w:tc>
          <w:tcPr>
            <w:tcW w:w="4428" w:type="dxa"/>
          </w:tcPr>
          <w:p w14:paraId="287FAE3D" w14:textId="54E8C033" w:rsidR="00942CEE" w:rsidRDefault="00942CEE" w:rsidP="00942CEE">
            <w:pPr>
              <w:pStyle w:val="NoSpacing"/>
              <w:jc w:val="center"/>
            </w:pPr>
            <w:r>
              <w:t>0</w:t>
            </w:r>
          </w:p>
        </w:tc>
      </w:tr>
      <w:tr w:rsidR="00942CEE" w14:paraId="7545C6CE" w14:textId="77777777" w:rsidTr="00942CEE">
        <w:tc>
          <w:tcPr>
            <w:tcW w:w="4428" w:type="dxa"/>
          </w:tcPr>
          <w:p w14:paraId="136BC41A" w14:textId="7475E6A1" w:rsidR="00942CEE" w:rsidRDefault="00942CEE" w:rsidP="00942CEE">
            <w:pPr>
              <w:pStyle w:val="NoSpacing"/>
              <w:jc w:val="center"/>
            </w:pPr>
            <w:r>
              <w:t>10</w:t>
            </w:r>
          </w:p>
        </w:tc>
        <w:tc>
          <w:tcPr>
            <w:tcW w:w="4428" w:type="dxa"/>
          </w:tcPr>
          <w:p w14:paraId="284EE221" w14:textId="00224EC8" w:rsidR="00942CEE" w:rsidRDefault="00942CEE" w:rsidP="00942CEE">
            <w:pPr>
              <w:pStyle w:val="NoSpacing"/>
              <w:jc w:val="center"/>
            </w:pPr>
            <w:r>
              <w:t>1</w:t>
            </w:r>
          </w:p>
        </w:tc>
      </w:tr>
      <w:tr w:rsidR="00942CEE" w14:paraId="446AA4CC" w14:textId="77777777" w:rsidTr="00942CEE">
        <w:tc>
          <w:tcPr>
            <w:tcW w:w="4428" w:type="dxa"/>
          </w:tcPr>
          <w:p w14:paraId="10E8BD3B" w14:textId="6A1D9A75" w:rsidR="00942CEE" w:rsidRDefault="00942CEE" w:rsidP="00942CEE">
            <w:pPr>
              <w:pStyle w:val="NoSpacing"/>
              <w:jc w:val="center"/>
            </w:pPr>
            <w:r>
              <w:t>10</w:t>
            </w:r>
          </w:p>
        </w:tc>
        <w:tc>
          <w:tcPr>
            <w:tcW w:w="4428" w:type="dxa"/>
          </w:tcPr>
          <w:p w14:paraId="4BB04598" w14:textId="3F34F180" w:rsidR="00942CEE" w:rsidRDefault="00942CEE" w:rsidP="00942CEE">
            <w:pPr>
              <w:pStyle w:val="NoSpacing"/>
              <w:jc w:val="center"/>
            </w:pPr>
            <w:r>
              <w:t>0</w:t>
            </w:r>
          </w:p>
        </w:tc>
      </w:tr>
      <w:tr w:rsidR="00942CEE" w14:paraId="35F7FA01" w14:textId="77777777" w:rsidTr="00942CEE">
        <w:tc>
          <w:tcPr>
            <w:tcW w:w="4428" w:type="dxa"/>
          </w:tcPr>
          <w:p w14:paraId="4A40F203" w14:textId="0CBB70F8" w:rsidR="00942CEE" w:rsidRDefault="00942CEE" w:rsidP="00942CEE">
            <w:pPr>
              <w:pStyle w:val="NoSpacing"/>
              <w:jc w:val="center"/>
            </w:pPr>
            <w:r>
              <w:t>10</w:t>
            </w:r>
          </w:p>
        </w:tc>
        <w:tc>
          <w:tcPr>
            <w:tcW w:w="4428" w:type="dxa"/>
          </w:tcPr>
          <w:p w14:paraId="38913701" w14:textId="6D2180BC" w:rsidR="00942CEE" w:rsidRDefault="00942CEE" w:rsidP="00942CEE">
            <w:pPr>
              <w:pStyle w:val="NoSpacing"/>
              <w:jc w:val="center"/>
            </w:pPr>
            <w:r>
              <w:t>1</w:t>
            </w:r>
          </w:p>
        </w:tc>
      </w:tr>
      <w:tr w:rsidR="00942CEE" w14:paraId="675CC05F" w14:textId="77777777" w:rsidTr="00942CEE">
        <w:tc>
          <w:tcPr>
            <w:tcW w:w="4428" w:type="dxa"/>
          </w:tcPr>
          <w:p w14:paraId="053ECDA3" w14:textId="0DE9943E" w:rsidR="00942CEE" w:rsidRDefault="00942CEE" w:rsidP="00942CEE">
            <w:pPr>
              <w:pStyle w:val="NoSpacing"/>
              <w:jc w:val="center"/>
            </w:pPr>
            <w:r>
              <w:t>10</w:t>
            </w:r>
          </w:p>
        </w:tc>
        <w:tc>
          <w:tcPr>
            <w:tcW w:w="4428" w:type="dxa"/>
          </w:tcPr>
          <w:p w14:paraId="55638E73" w14:textId="39548E3B" w:rsidR="00942CEE" w:rsidRDefault="00942CEE" w:rsidP="00942CEE">
            <w:pPr>
              <w:pStyle w:val="NoSpacing"/>
              <w:jc w:val="center"/>
            </w:pPr>
            <w:r>
              <w:t>0</w:t>
            </w:r>
          </w:p>
        </w:tc>
      </w:tr>
      <w:tr w:rsidR="00942CEE" w14:paraId="2DDCCE01" w14:textId="77777777" w:rsidTr="00942CEE">
        <w:tc>
          <w:tcPr>
            <w:tcW w:w="4428" w:type="dxa"/>
          </w:tcPr>
          <w:p w14:paraId="6C4CDA3F" w14:textId="7BE1307E" w:rsidR="00942CEE" w:rsidRDefault="00942CEE" w:rsidP="00942CEE">
            <w:pPr>
              <w:pStyle w:val="NoSpacing"/>
              <w:jc w:val="center"/>
            </w:pPr>
            <w:r>
              <w:t>25</w:t>
            </w:r>
          </w:p>
        </w:tc>
        <w:tc>
          <w:tcPr>
            <w:tcW w:w="4428" w:type="dxa"/>
          </w:tcPr>
          <w:p w14:paraId="5B5D85A4" w14:textId="19799F13" w:rsidR="00942CEE" w:rsidRDefault="00942CEE" w:rsidP="00942CEE">
            <w:pPr>
              <w:pStyle w:val="NoSpacing"/>
              <w:jc w:val="center"/>
            </w:pPr>
            <w:r>
              <w:t>1</w:t>
            </w:r>
          </w:p>
        </w:tc>
      </w:tr>
      <w:tr w:rsidR="00942CEE" w14:paraId="5472B5DD" w14:textId="77777777" w:rsidTr="00942CEE">
        <w:tc>
          <w:tcPr>
            <w:tcW w:w="4428" w:type="dxa"/>
          </w:tcPr>
          <w:p w14:paraId="0AD7C5A6" w14:textId="090E416C" w:rsidR="00942CEE" w:rsidRDefault="00942CEE" w:rsidP="00942CEE">
            <w:pPr>
              <w:pStyle w:val="NoSpacing"/>
              <w:jc w:val="center"/>
            </w:pPr>
            <w:r>
              <w:t>25</w:t>
            </w:r>
          </w:p>
        </w:tc>
        <w:tc>
          <w:tcPr>
            <w:tcW w:w="4428" w:type="dxa"/>
          </w:tcPr>
          <w:p w14:paraId="12C61726" w14:textId="3D66528C" w:rsidR="00942CEE" w:rsidRDefault="00942CEE" w:rsidP="00942CEE">
            <w:pPr>
              <w:pStyle w:val="NoSpacing"/>
              <w:jc w:val="center"/>
            </w:pPr>
            <w:r>
              <w:t>0</w:t>
            </w:r>
          </w:p>
        </w:tc>
      </w:tr>
      <w:tr w:rsidR="00942CEE" w14:paraId="338BB0D3" w14:textId="77777777" w:rsidTr="00942CEE">
        <w:tc>
          <w:tcPr>
            <w:tcW w:w="4428" w:type="dxa"/>
          </w:tcPr>
          <w:p w14:paraId="4FB7CDCE" w14:textId="02F0723A" w:rsidR="00942CEE" w:rsidRDefault="00942CEE" w:rsidP="00942CEE">
            <w:pPr>
              <w:pStyle w:val="NoSpacing"/>
              <w:jc w:val="center"/>
            </w:pPr>
            <w:r>
              <w:t>25</w:t>
            </w:r>
          </w:p>
        </w:tc>
        <w:tc>
          <w:tcPr>
            <w:tcW w:w="4428" w:type="dxa"/>
          </w:tcPr>
          <w:p w14:paraId="595F2E9A" w14:textId="0B9710A5" w:rsidR="00942CEE" w:rsidRDefault="00942CEE" w:rsidP="00942CEE">
            <w:pPr>
              <w:pStyle w:val="NoSpacing"/>
              <w:jc w:val="center"/>
            </w:pPr>
            <w:r>
              <w:t>1</w:t>
            </w:r>
          </w:p>
        </w:tc>
      </w:tr>
      <w:tr w:rsidR="00942CEE" w14:paraId="1865F9CF" w14:textId="77777777" w:rsidTr="00942CEE">
        <w:tc>
          <w:tcPr>
            <w:tcW w:w="4428" w:type="dxa"/>
          </w:tcPr>
          <w:p w14:paraId="110B5131" w14:textId="5D5AD211" w:rsidR="00942CEE" w:rsidRDefault="00942CEE" w:rsidP="00942CEE">
            <w:pPr>
              <w:pStyle w:val="NoSpacing"/>
              <w:jc w:val="center"/>
            </w:pPr>
            <w:r>
              <w:t>25</w:t>
            </w:r>
          </w:p>
        </w:tc>
        <w:tc>
          <w:tcPr>
            <w:tcW w:w="4428" w:type="dxa"/>
          </w:tcPr>
          <w:p w14:paraId="7A3683AA" w14:textId="5BD16831" w:rsidR="00942CEE" w:rsidRDefault="00942CEE" w:rsidP="00942CEE">
            <w:pPr>
              <w:pStyle w:val="NoSpacing"/>
              <w:jc w:val="center"/>
            </w:pPr>
            <w:r>
              <w:t>1</w:t>
            </w:r>
          </w:p>
        </w:tc>
      </w:tr>
      <w:tr w:rsidR="00942CEE" w14:paraId="719DC587" w14:textId="77777777" w:rsidTr="00942CEE">
        <w:tc>
          <w:tcPr>
            <w:tcW w:w="4428" w:type="dxa"/>
          </w:tcPr>
          <w:p w14:paraId="1B2D4727" w14:textId="0039BC76" w:rsidR="00942CEE" w:rsidRDefault="00942CEE" w:rsidP="00942CEE">
            <w:pPr>
              <w:pStyle w:val="NoSpacing"/>
              <w:jc w:val="center"/>
            </w:pPr>
            <w:r>
              <w:t>25</w:t>
            </w:r>
          </w:p>
        </w:tc>
        <w:tc>
          <w:tcPr>
            <w:tcW w:w="4428" w:type="dxa"/>
          </w:tcPr>
          <w:p w14:paraId="330F6B8D" w14:textId="1A41727A" w:rsidR="00942CEE" w:rsidRDefault="00942CEE" w:rsidP="00942CEE">
            <w:pPr>
              <w:pStyle w:val="NoSpacing"/>
              <w:jc w:val="center"/>
            </w:pPr>
            <w:r>
              <w:t>0</w:t>
            </w:r>
          </w:p>
        </w:tc>
      </w:tr>
      <w:tr w:rsidR="00942CEE" w14:paraId="5421265B" w14:textId="77777777" w:rsidTr="00942CEE">
        <w:tc>
          <w:tcPr>
            <w:tcW w:w="4428" w:type="dxa"/>
          </w:tcPr>
          <w:p w14:paraId="4CAFCCEB" w14:textId="10AAF13D" w:rsidR="00942CEE" w:rsidRDefault="00942CEE" w:rsidP="00942CEE">
            <w:pPr>
              <w:pStyle w:val="NoSpacing"/>
              <w:jc w:val="center"/>
            </w:pPr>
            <w:r>
              <w:t>50</w:t>
            </w:r>
          </w:p>
        </w:tc>
        <w:tc>
          <w:tcPr>
            <w:tcW w:w="4428" w:type="dxa"/>
          </w:tcPr>
          <w:p w14:paraId="0F553D66" w14:textId="08F566D0" w:rsidR="00942CEE" w:rsidRDefault="00942CEE" w:rsidP="00942CEE">
            <w:pPr>
              <w:pStyle w:val="NoSpacing"/>
              <w:jc w:val="center"/>
            </w:pPr>
            <w:r>
              <w:t>1</w:t>
            </w:r>
          </w:p>
        </w:tc>
      </w:tr>
      <w:tr w:rsidR="00942CEE" w14:paraId="5384A97C" w14:textId="77777777" w:rsidTr="00942CEE">
        <w:tc>
          <w:tcPr>
            <w:tcW w:w="4428" w:type="dxa"/>
          </w:tcPr>
          <w:p w14:paraId="16C942A9" w14:textId="0629D62B" w:rsidR="00942CEE" w:rsidRDefault="00942CEE" w:rsidP="00942CEE">
            <w:pPr>
              <w:pStyle w:val="NoSpacing"/>
              <w:jc w:val="center"/>
            </w:pPr>
            <w:r>
              <w:t>50</w:t>
            </w:r>
          </w:p>
        </w:tc>
        <w:tc>
          <w:tcPr>
            <w:tcW w:w="4428" w:type="dxa"/>
          </w:tcPr>
          <w:p w14:paraId="420EF974" w14:textId="4975EF23" w:rsidR="00942CEE" w:rsidRDefault="00942CEE" w:rsidP="00942CEE">
            <w:pPr>
              <w:pStyle w:val="NoSpacing"/>
              <w:jc w:val="center"/>
            </w:pPr>
            <w:r>
              <w:t>1</w:t>
            </w:r>
          </w:p>
        </w:tc>
      </w:tr>
      <w:tr w:rsidR="00942CEE" w14:paraId="7B1A7439" w14:textId="77777777" w:rsidTr="00942CEE">
        <w:tc>
          <w:tcPr>
            <w:tcW w:w="4428" w:type="dxa"/>
          </w:tcPr>
          <w:p w14:paraId="2366EBCA" w14:textId="0E09D829" w:rsidR="00942CEE" w:rsidRDefault="00942CEE" w:rsidP="00942CEE">
            <w:pPr>
              <w:pStyle w:val="NoSpacing"/>
              <w:jc w:val="center"/>
            </w:pPr>
            <w:r>
              <w:t>50</w:t>
            </w:r>
          </w:p>
        </w:tc>
        <w:tc>
          <w:tcPr>
            <w:tcW w:w="4428" w:type="dxa"/>
          </w:tcPr>
          <w:p w14:paraId="3E7073E2" w14:textId="4C63E6AF" w:rsidR="00942CEE" w:rsidRDefault="00942CEE" w:rsidP="00942CEE">
            <w:pPr>
              <w:pStyle w:val="NoSpacing"/>
              <w:jc w:val="center"/>
            </w:pPr>
            <w:r>
              <w:t>1</w:t>
            </w:r>
          </w:p>
        </w:tc>
      </w:tr>
      <w:tr w:rsidR="00942CEE" w14:paraId="05E31130" w14:textId="77777777" w:rsidTr="00942CEE">
        <w:tc>
          <w:tcPr>
            <w:tcW w:w="4428" w:type="dxa"/>
          </w:tcPr>
          <w:p w14:paraId="40E9A7B7" w14:textId="2AB65AA3" w:rsidR="00942CEE" w:rsidRDefault="00942CEE" w:rsidP="00942CEE">
            <w:pPr>
              <w:pStyle w:val="NoSpacing"/>
              <w:jc w:val="center"/>
            </w:pPr>
            <w:r>
              <w:t>50</w:t>
            </w:r>
          </w:p>
        </w:tc>
        <w:tc>
          <w:tcPr>
            <w:tcW w:w="4428" w:type="dxa"/>
          </w:tcPr>
          <w:p w14:paraId="5ED3FECE" w14:textId="2F95A0AA" w:rsidR="00942CEE" w:rsidRDefault="00942CEE" w:rsidP="00942CEE">
            <w:pPr>
              <w:pStyle w:val="NoSpacing"/>
              <w:jc w:val="center"/>
            </w:pPr>
            <w:r>
              <w:t>1</w:t>
            </w:r>
          </w:p>
        </w:tc>
      </w:tr>
    </w:tbl>
    <w:p w14:paraId="164BD915" w14:textId="77777777" w:rsidR="00942CEE" w:rsidRDefault="00942CEE" w:rsidP="00F9353B">
      <w:pPr>
        <w:pStyle w:val="NoSpacing"/>
        <w:ind w:left="720"/>
      </w:pPr>
    </w:p>
    <w:p w14:paraId="16FB0847" w14:textId="5B955F8D" w:rsidR="00937FFD" w:rsidRDefault="00937FFD" w:rsidP="00F9353B">
      <w:pPr>
        <w:pStyle w:val="NoSpacing"/>
        <w:ind w:left="720"/>
      </w:pPr>
      <w:r>
        <w:t xml:space="preserve">(3) </w:t>
      </w:r>
      <w:r w:rsidR="005155F0">
        <w:t>For “Continuous  summary” data type, four columns are needed to describe each dose group, which are dose, number of subjects, the mean value of response, and the standard deviation of the response (or the standard error of the response).</w:t>
      </w:r>
      <w:r w:rsidR="00FD3D90">
        <w:t xml:space="preserve"> A pull-down menu is used to specify what the last column is. The dataset below is an example of the </w:t>
      </w:r>
      <w:r>
        <w:t>continuous summary data:</w:t>
      </w:r>
    </w:p>
    <w:p w14:paraId="432F1836" w14:textId="77777777" w:rsidR="00937FFD" w:rsidRDefault="00937FFD" w:rsidP="00F9353B">
      <w:pPr>
        <w:pStyle w:val="NoSpacing"/>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2087"/>
        <w:gridCol w:w="2019"/>
        <w:gridCol w:w="2002"/>
      </w:tblGrid>
      <w:tr w:rsidR="00937FFD" w14:paraId="4BCB1D10" w14:textId="77777777" w:rsidTr="00937FFD">
        <w:tc>
          <w:tcPr>
            <w:tcW w:w="2214" w:type="dxa"/>
          </w:tcPr>
          <w:p w14:paraId="0FE34965" w14:textId="21465FC1" w:rsidR="00937FFD" w:rsidRDefault="00937FFD" w:rsidP="00937FFD">
            <w:pPr>
              <w:pStyle w:val="NoSpacing"/>
              <w:jc w:val="center"/>
            </w:pPr>
            <w:r>
              <w:t>(Dose)</w:t>
            </w:r>
          </w:p>
        </w:tc>
        <w:tc>
          <w:tcPr>
            <w:tcW w:w="2214" w:type="dxa"/>
          </w:tcPr>
          <w:p w14:paraId="1D835BC5" w14:textId="23D44236" w:rsidR="00937FFD" w:rsidRDefault="00937FFD" w:rsidP="00937FFD">
            <w:pPr>
              <w:pStyle w:val="NoSpacing"/>
              <w:jc w:val="center"/>
            </w:pPr>
            <w:r>
              <w:t># of Subjects</w:t>
            </w:r>
          </w:p>
        </w:tc>
        <w:tc>
          <w:tcPr>
            <w:tcW w:w="2214" w:type="dxa"/>
          </w:tcPr>
          <w:p w14:paraId="53645142" w14:textId="20FCD5F4" w:rsidR="00937FFD" w:rsidRDefault="00937FFD" w:rsidP="00937FFD">
            <w:pPr>
              <w:pStyle w:val="NoSpacing"/>
              <w:jc w:val="center"/>
            </w:pPr>
            <w:r>
              <w:t>Mean</w:t>
            </w:r>
          </w:p>
        </w:tc>
        <w:tc>
          <w:tcPr>
            <w:tcW w:w="2214" w:type="dxa"/>
          </w:tcPr>
          <w:p w14:paraId="4A8E2FC3" w14:textId="1EA8BE4B" w:rsidR="00937FFD" w:rsidRDefault="00937FFD" w:rsidP="00937FFD">
            <w:pPr>
              <w:pStyle w:val="NoSpacing"/>
              <w:jc w:val="center"/>
            </w:pPr>
            <w:proofErr w:type="spellStart"/>
            <w:r>
              <w:t>Std</w:t>
            </w:r>
            <w:proofErr w:type="spellEnd"/>
            <w:r>
              <w:t xml:space="preserve"> Dev</w:t>
            </w:r>
          </w:p>
        </w:tc>
      </w:tr>
      <w:tr w:rsidR="00937FFD" w14:paraId="7C6D90D9" w14:textId="77777777" w:rsidTr="00937FFD">
        <w:tc>
          <w:tcPr>
            <w:tcW w:w="2214" w:type="dxa"/>
          </w:tcPr>
          <w:p w14:paraId="4A26C4C1" w14:textId="4A99161E" w:rsidR="00937FFD" w:rsidRDefault="00937FFD" w:rsidP="00937FFD">
            <w:pPr>
              <w:pStyle w:val="NoSpacing"/>
              <w:jc w:val="center"/>
            </w:pPr>
            <w:r>
              <w:t>0</w:t>
            </w:r>
          </w:p>
        </w:tc>
        <w:tc>
          <w:tcPr>
            <w:tcW w:w="2214" w:type="dxa"/>
          </w:tcPr>
          <w:p w14:paraId="4C570710" w14:textId="252113C4" w:rsidR="00937FFD" w:rsidRDefault="00937FFD" w:rsidP="00937FFD">
            <w:pPr>
              <w:pStyle w:val="NoSpacing"/>
              <w:tabs>
                <w:tab w:val="center" w:pos="921"/>
              </w:tabs>
            </w:pPr>
            <w:r>
              <w:tab/>
              <w:t>10</w:t>
            </w:r>
          </w:p>
        </w:tc>
        <w:tc>
          <w:tcPr>
            <w:tcW w:w="2214" w:type="dxa"/>
          </w:tcPr>
          <w:p w14:paraId="41B6E0AE" w14:textId="22C8994D" w:rsidR="00937FFD" w:rsidRDefault="00937FFD" w:rsidP="00937FFD">
            <w:pPr>
              <w:pStyle w:val="NoSpacing"/>
              <w:jc w:val="center"/>
            </w:pPr>
            <w:r>
              <w:t>2.82</w:t>
            </w:r>
          </w:p>
        </w:tc>
        <w:tc>
          <w:tcPr>
            <w:tcW w:w="2214" w:type="dxa"/>
          </w:tcPr>
          <w:p w14:paraId="1FD65452" w14:textId="4430A620" w:rsidR="00937FFD" w:rsidRDefault="00937FFD" w:rsidP="00937FFD">
            <w:pPr>
              <w:pStyle w:val="NoSpacing"/>
              <w:jc w:val="center"/>
            </w:pPr>
            <w:r>
              <w:t>0.17</w:t>
            </w:r>
          </w:p>
        </w:tc>
      </w:tr>
      <w:tr w:rsidR="00937FFD" w14:paraId="73918DE6" w14:textId="77777777" w:rsidTr="00937FFD">
        <w:tc>
          <w:tcPr>
            <w:tcW w:w="2214" w:type="dxa"/>
          </w:tcPr>
          <w:p w14:paraId="125AC47A" w14:textId="6DF252B0" w:rsidR="00937FFD" w:rsidRDefault="00937FFD" w:rsidP="00937FFD">
            <w:pPr>
              <w:pStyle w:val="NoSpacing"/>
              <w:jc w:val="center"/>
            </w:pPr>
            <w:r>
              <w:t>100</w:t>
            </w:r>
          </w:p>
        </w:tc>
        <w:tc>
          <w:tcPr>
            <w:tcW w:w="2214" w:type="dxa"/>
          </w:tcPr>
          <w:p w14:paraId="3F3048AC" w14:textId="64106DD2" w:rsidR="00937FFD" w:rsidRDefault="00937FFD" w:rsidP="00937FFD">
            <w:pPr>
              <w:pStyle w:val="NoSpacing"/>
              <w:jc w:val="center"/>
            </w:pPr>
            <w:r>
              <w:t>10</w:t>
            </w:r>
          </w:p>
        </w:tc>
        <w:tc>
          <w:tcPr>
            <w:tcW w:w="2214" w:type="dxa"/>
          </w:tcPr>
          <w:p w14:paraId="3A60CBD8" w14:textId="04ADEF99" w:rsidR="00937FFD" w:rsidRDefault="00937FFD" w:rsidP="00937FFD">
            <w:pPr>
              <w:pStyle w:val="NoSpacing"/>
              <w:jc w:val="center"/>
            </w:pPr>
            <w:r>
              <w:t>2.91</w:t>
            </w:r>
          </w:p>
        </w:tc>
        <w:tc>
          <w:tcPr>
            <w:tcW w:w="2214" w:type="dxa"/>
          </w:tcPr>
          <w:p w14:paraId="2E7903BF" w14:textId="1961E814" w:rsidR="00937FFD" w:rsidRDefault="00937FFD" w:rsidP="00937FFD">
            <w:pPr>
              <w:pStyle w:val="NoSpacing"/>
              <w:jc w:val="center"/>
            </w:pPr>
            <w:r>
              <w:t>0.16</w:t>
            </w:r>
          </w:p>
        </w:tc>
      </w:tr>
      <w:tr w:rsidR="00937FFD" w14:paraId="4165088C" w14:textId="77777777" w:rsidTr="00937FFD">
        <w:tc>
          <w:tcPr>
            <w:tcW w:w="2214" w:type="dxa"/>
          </w:tcPr>
          <w:p w14:paraId="31FDB6C1" w14:textId="045B2952" w:rsidR="00937FFD" w:rsidRDefault="00937FFD" w:rsidP="00937FFD">
            <w:pPr>
              <w:pStyle w:val="NoSpacing"/>
              <w:jc w:val="center"/>
            </w:pPr>
            <w:r>
              <w:t>200</w:t>
            </w:r>
          </w:p>
        </w:tc>
        <w:tc>
          <w:tcPr>
            <w:tcW w:w="2214" w:type="dxa"/>
          </w:tcPr>
          <w:p w14:paraId="6D58C9E0" w14:textId="65520A4C" w:rsidR="00937FFD" w:rsidRDefault="00937FFD" w:rsidP="00937FFD">
            <w:pPr>
              <w:pStyle w:val="NoSpacing"/>
              <w:jc w:val="center"/>
            </w:pPr>
            <w:r>
              <w:t>10</w:t>
            </w:r>
          </w:p>
        </w:tc>
        <w:tc>
          <w:tcPr>
            <w:tcW w:w="2214" w:type="dxa"/>
          </w:tcPr>
          <w:p w14:paraId="02458652" w14:textId="1FCD8525" w:rsidR="00937FFD" w:rsidRDefault="00937FFD" w:rsidP="00937FFD">
            <w:pPr>
              <w:pStyle w:val="NoSpacing"/>
              <w:jc w:val="center"/>
            </w:pPr>
            <w:r>
              <w:t>2.95</w:t>
            </w:r>
          </w:p>
        </w:tc>
        <w:tc>
          <w:tcPr>
            <w:tcW w:w="2214" w:type="dxa"/>
          </w:tcPr>
          <w:p w14:paraId="403EB9A7" w14:textId="1375B0EE" w:rsidR="00937FFD" w:rsidRDefault="00937FFD" w:rsidP="00937FFD">
            <w:pPr>
              <w:pStyle w:val="NoSpacing"/>
              <w:jc w:val="center"/>
            </w:pPr>
            <w:r>
              <w:t>0.2</w:t>
            </w:r>
          </w:p>
        </w:tc>
      </w:tr>
      <w:tr w:rsidR="00937FFD" w14:paraId="49DF65E6" w14:textId="77777777" w:rsidTr="00937FFD">
        <w:tc>
          <w:tcPr>
            <w:tcW w:w="2214" w:type="dxa"/>
          </w:tcPr>
          <w:p w14:paraId="5C05BB46" w14:textId="6C45BC12" w:rsidR="00937FFD" w:rsidRDefault="00937FFD" w:rsidP="00937FFD">
            <w:pPr>
              <w:pStyle w:val="NoSpacing"/>
              <w:jc w:val="center"/>
            </w:pPr>
            <w:r>
              <w:t>400</w:t>
            </w:r>
          </w:p>
        </w:tc>
        <w:tc>
          <w:tcPr>
            <w:tcW w:w="2214" w:type="dxa"/>
          </w:tcPr>
          <w:p w14:paraId="62EE5328" w14:textId="1761ECDD" w:rsidR="00937FFD" w:rsidRDefault="00937FFD" w:rsidP="00937FFD">
            <w:pPr>
              <w:pStyle w:val="NoSpacing"/>
              <w:jc w:val="center"/>
            </w:pPr>
            <w:r>
              <w:t>9</w:t>
            </w:r>
          </w:p>
        </w:tc>
        <w:tc>
          <w:tcPr>
            <w:tcW w:w="2214" w:type="dxa"/>
          </w:tcPr>
          <w:p w14:paraId="6BF9007E" w14:textId="15BB0EBA" w:rsidR="00937FFD" w:rsidRDefault="00937FFD" w:rsidP="00937FFD">
            <w:pPr>
              <w:pStyle w:val="NoSpacing"/>
              <w:jc w:val="center"/>
            </w:pPr>
            <w:r>
              <w:t>3.22</w:t>
            </w:r>
          </w:p>
        </w:tc>
        <w:tc>
          <w:tcPr>
            <w:tcW w:w="2214" w:type="dxa"/>
          </w:tcPr>
          <w:p w14:paraId="4A94CF3E" w14:textId="2511561B" w:rsidR="00937FFD" w:rsidRDefault="00937FFD" w:rsidP="00937FFD">
            <w:pPr>
              <w:pStyle w:val="NoSpacing"/>
              <w:jc w:val="center"/>
            </w:pPr>
            <w:r>
              <w:t>0.25</w:t>
            </w:r>
          </w:p>
        </w:tc>
      </w:tr>
    </w:tbl>
    <w:p w14:paraId="0E11BD78" w14:textId="37794A95" w:rsidR="00906B5E" w:rsidRDefault="00FD3D90" w:rsidP="00F9353B">
      <w:pPr>
        <w:pStyle w:val="NoSpacing"/>
        <w:ind w:left="720"/>
      </w:pPr>
      <w:r>
        <w:t xml:space="preserve"> </w:t>
      </w:r>
    </w:p>
    <w:p w14:paraId="2E695FDF" w14:textId="77777777" w:rsidR="00942CEE" w:rsidRDefault="00942CEE" w:rsidP="00F9353B">
      <w:pPr>
        <w:pStyle w:val="NoSpacing"/>
        <w:ind w:left="720"/>
      </w:pPr>
    </w:p>
    <w:p w14:paraId="599E6D93" w14:textId="61E6F655" w:rsidR="00906B5E" w:rsidRDefault="00937FFD" w:rsidP="00F9353B">
      <w:pPr>
        <w:pStyle w:val="NoSpacing"/>
        <w:ind w:left="720"/>
      </w:pPr>
      <w:r>
        <w:lastRenderedPageBreak/>
        <w:t>(4) The last data type is “Continuous individual” w</w:t>
      </w:r>
      <w:r w:rsidR="00C3164E">
        <w:t>hich only requires two columns (from left to right): dose level and response. The table below shows you an example of this data type.</w:t>
      </w:r>
    </w:p>
    <w:p w14:paraId="4AF31192" w14:textId="77777777" w:rsidR="00937FFD" w:rsidRDefault="00937FFD" w:rsidP="00F9353B">
      <w:pPr>
        <w:pStyle w:val="NoSpacing"/>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4090"/>
      </w:tblGrid>
      <w:tr w:rsidR="008430EB" w14:paraId="64B7CDDD" w14:textId="77777777" w:rsidTr="00AB4E39">
        <w:tc>
          <w:tcPr>
            <w:tcW w:w="4428" w:type="dxa"/>
          </w:tcPr>
          <w:p w14:paraId="78056C20" w14:textId="06CDC771" w:rsidR="008430EB" w:rsidRDefault="008430EB" w:rsidP="00AB4E39">
            <w:pPr>
              <w:pStyle w:val="NoSpacing"/>
              <w:jc w:val="center"/>
            </w:pPr>
            <w:r>
              <w:t>(Dose)</w:t>
            </w:r>
          </w:p>
        </w:tc>
        <w:tc>
          <w:tcPr>
            <w:tcW w:w="4428" w:type="dxa"/>
          </w:tcPr>
          <w:p w14:paraId="031200DD" w14:textId="18E5B4C7" w:rsidR="008430EB" w:rsidRDefault="008430EB" w:rsidP="00AB4E39">
            <w:pPr>
              <w:pStyle w:val="NoSpacing"/>
              <w:jc w:val="center"/>
            </w:pPr>
            <w:r>
              <w:t>(Response)</w:t>
            </w:r>
          </w:p>
        </w:tc>
      </w:tr>
      <w:tr w:rsidR="008430EB" w14:paraId="494FDA29" w14:textId="77777777" w:rsidTr="00AB4E39">
        <w:tc>
          <w:tcPr>
            <w:tcW w:w="4428" w:type="dxa"/>
          </w:tcPr>
          <w:p w14:paraId="7A617E3C" w14:textId="3F54E68C" w:rsidR="008430EB" w:rsidRDefault="008430EB" w:rsidP="00AB4E39">
            <w:pPr>
              <w:pStyle w:val="NoSpacing"/>
              <w:jc w:val="center"/>
            </w:pPr>
            <w:bookmarkStart w:id="5" w:name="_GoBack"/>
            <w:bookmarkEnd w:id="5"/>
            <w:r>
              <w:t>0</w:t>
            </w:r>
          </w:p>
        </w:tc>
        <w:tc>
          <w:tcPr>
            <w:tcW w:w="4428" w:type="dxa"/>
          </w:tcPr>
          <w:p w14:paraId="0934CAAC" w14:textId="65EF135F" w:rsidR="008430EB" w:rsidRDefault="008430EB" w:rsidP="00AB4E39">
            <w:pPr>
              <w:pStyle w:val="NoSpacing"/>
              <w:jc w:val="center"/>
            </w:pPr>
            <w:r>
              <w:t>351.3</w:t>
            </w:r>
          </w:p>
        </w:tc>
      </w:tr>
      <w:tr w:rsidR="008430EB" w14:paraId="2D2F328A" w14:textId="77777777" w:rsidTr="00AB4E39">
        <w:tc>
          <w:tcPr>
            <w:tcW w:w="4428" w:type="dxa"/>
          </w:tcPr>
          <w:p w14:paraId="17714125" w14:textId="371D61CD" w:rsidR="008430EB" w:rsidRDefault="008430EB" w:rsidP="00AB4E39">
            <w:pPr>
              <w:pStyle w:val="NoSpacing"/>
              <w:jc w:val="center"/>
            </w:pPr>
            <w:r>
              <w:t>0</w:t>
            </w:r>
          </w:p>
        </w:tc>
        <w:tc>
          <w:tcPr>
            <w:tcW w:w="4428" w:type="dxa"/>
          </w:tcPr>
          <w:p w14:paraId="6EDCF1A5" w14:textId="1FC71F98" w:rsidR="008430EB" w:rsidRDefault="008430EB" w:rsidP="00AB4E39">
            <w:pPr>
              <w:pStyle w:val="NoSpacing"/>
              <w:jc w:val="center"/>
            </w:pPr>
            <w:r>
              <w:t>350.3</w:t>
            </w:r>
          </w:p>
        </w:tc>
      </w:tr>
      <w:tr w:rsidR="008430EB" w14:paraId="7C335F8F" w14:textId="77777777" w:rsidTr="00AB4E39">
        <w:tc>
          <w:tcPr>
            <w:tcW w:w="4428" w:type="dxa"/>
          </w:tcPr>
          <w:p w14:paraId="06B2ABAF" w14:textId="7D3DC03F" w:rsidR="008430EB" w:rsidRDefault="008430EB" w:rsidP="00AB4E39">
            <w:pPr>
              <w:pStyle w:val="NoSpacing"/>
              <w:jc w:val="center"/>
            </w:pPr>
            <w:r>
              <w:t>0</w:t>
            </w:r>
          </w:p>
        </w:tc>
        <w:tc>
          <w:tcPr>
            <w:tcW w:w="4428" w:type="dxa"/>
          </w:tcPr>
          <w:p w14:paraId="0F70F9FF" w14:textId="3513DC44" w:rsidR="008430EB" w:rsidRDefault="008430EB" w:rsidP="00AB4E39">
            <w:pPr>
              <w:pStyle w:val="NoSpacing"/>
              <w:jc w:val="center"/>
            </w:pPr>
            <w:r>
              <w:t>359.8</w:t>
            </w:r>
          </w:p>
        </w:tc>
      </w:tr>
      <w:tr w:rsidR="008430EB" w14:paraId="3A2DA062" w14:textId="77777777" w:rsidTr="00AB4E39">
        <w:tc>
          <w:tcPr>
            <w:tcW w:w="4428" w:type="dxa"/>
          </w:tcPr>
          <w:p w14:paraId="59E5EC6E" w14:textId="45053BBB" w:rsidR="008430EB" w:rsidRDefault="008430EB" w:rsidP="00AB4E39">
            <w:pPr>
              <w:pStyle w:val="NoSpacing"/>
              <w:jc w:val="center"/>
            </w:pPr>
            <w:r>
              <w:t>0</w:t>
            </w:r>
          </w:p>
        </w:tc>
        <w:tc>
          <w:tcPr>
            <w:tcW w:w="4428" w:type="dxa"/>
          </w:tcPr>
          <w:p w14:paraId="64AC1EFC" w14:textId="55F5F292" w:rsidR="008430EB" w:rsidRDefault="008430EB" w:rsidP="00AB4E39">
            <w:pPr>
              <w:pStyle w:val="NoSpacing"/>
              <w:jc w:val="center"/>
            </w:pPr>
            <w:r>
              <w:t>360.7</w:t>
            </w:r>
          </w:p>
        </w:tc>
      </w:tr>
      <w:tr w:rsidR="008430EB" w14:paraId="72AC6300" w14:textId="77777777" w:rsidTr="00AB4E39">
        <w:tc>
          <w:tcPr>
            <w:tcW w:w="4428" w:type="dxa"/>
          </w:tcPr>
          <w:p w14:paraId="036EAC97" w14:textId="74D13EBC" w:rsidR="008430EB" w:rsidRDefault="008430EB" w:rsidP="00AB4E39">
            <w:pPr>
              <w:pStyle w:val="NoSpacing"/>
              <w:jc w:val="center"/>
            </w:pPr>
            <w:r>
              <w:t>0</w:t>
            </w:r>
          </w:p>
        </w:tc>
        <w:tc>
          <w:tcPr>
            <w:tcW w:w="4428" w:type="dxa"/>
          </w:tcPr>
          <w:p w14:paraId="47DFE04A" w14:textId="3F18D2CE" w:rsidR="008430EB" w:rsidRDefault="008430EB" w:rsidP="00AB4E39">
            <w:pPr>
              <w:pStyle w:val="NoSpacing"/>
              <w:jc w:val="center"/>
            </w:pPr>
            <w:r>
              <w:t>357.4</w:t>
            </w:r>
          </w:p>
        </w:tc>
      </w:tr>
      <w:tr w:rsidR="008430EB" w14:paraId="0BD8886F" w14:textId="77777777" w:rsidTr="00AB4E39">
        <w:tc>
          <w:tcPr>
            <w:tcW w:w="4428" w:type="dxa"/>
          </w:tcPr>
          <w:p w14:paraId="5A5EFB52" w14:textId="1A60AF48" w:rsidR="008430EB" w:rsidRDefault="008430EB" w:rsidP="00AB4E39">
            <w:pPr>
              <w:pStyle w:val="NoSpacing"/>
              <w:jc w:val="center"/>
            </w:pPr>
            <w:r>
              <w:t>2.5</w:t>
            </w:r>
          </w:p>
        </w:tc>
        <w:tc>
          <w:tcPr>
            <w:tcW w:w="4428" w:type="dxa"/>
          </w:tcPr>
          <w:p w14:paraId="08DC709A" w14:textId="090C7415" w:rsidR="008430EB" w:rsidRDefault="00620AF3" w:rsidP="00AB4E39">
            <w:pPr>
              <w:pStyle w:val="NoSpacing"/>
              <w:jc w:val="center"/>
            </w:pPr>
            <w:r>
              <w:t>349.8</w:t>
            </w:r>
          </w:p>
        </w:tc>
      </w:tr>
      <w:tr w:rsidR="008430EB" w14:paraId="19630EBD" w14:textId="77777777" w:rsidTr="00AB4E39">
        <w:tc>
          <w:tcPr>
            <w:tcW w:w="4428" w:type="dxa"/>
          </w:tcPr>
          <w:p w14:paraId="0CF6BE8D" w14:textId="0A310FBD" w:rsidR="008430EB" w:rsidRDefault="008430EB" w:rsidP="00AB4E39">
            <w:pPr>
              <w:pStyle w:val="NoSpacing"/>
              <w:jc w:val="center"/>
            </w:pPr>
            <w:r>
              <w:t>2.5</w:t>
            </w:r>
          </w:p>
        </w:tc>
        <w:tc>
          <w:tcPr>
            <w:tcW w:w="4428" w:type="dxa"/>
          </w:tcPr>
          <w:p w14:paraId="70F8F1D9" w14:textId="3DCE08CB" w:rsidR="008430EB" w:rsidRDefault="00620AF3" w:rsidP="00AB4E39">
            <w:pPr>
              <w:pStyle w:val="NoSpacing"/>
              <w:jc w:val="center"/>
            </w:pPr>
            <w:r>
              <w:t>352.1</w:t>
            </w:r>
          </w:p>
        </w:tc>
      </w:tr>
      <w:tr w:rsidR="008430EB" w14:paraId="61C73EBE" w14:textId="77777777" w:rsidTr="00AB4E39">
        <w:tc>
          <w:tcPr>
            <w:tcW w:w="4428" w:type="dxa"/>
          </w:tcPr>
          <w:p w14:paraId="08393AB6" w14:textId="17356A14" w:rsidR="008430EB" w:rsidRDefault="008430EB" w:rsidP="00AB4E39">
            <w:pPr>
              <w:pStyle w:val="NoSpacing"/>
              <w:jc w:val="center"/>
            </w:pPr>
            <w:r>
              <w:t>2.5</w:t>
            </w:r>
          </w:p>
        </w:tc>
        <w:tc>
          <w:tcPr>
            <w:tcW w:w="4428" w:type="dxa"/>
          </w:tcPr>
          <w:p w14:paraId="168E07A0" w14:textId="2434324F" w:rsidR="008430EB" w:rsidRDefault="00620AF3" w:rsidP="00AB4E39">
            <w:pPr>
              <w:pStyle w:val="NoSpacing"/>
              <w:jc w:val="center"/>
            </w:pPr>
            <w:r>
              <w:t>346.3</w:t>
            </w:r>
          </w:p>
        </w:tc>
      </w:tr>
      <w:tr w:rsidR="008430EB" w14:paraId="50A9573C" w14:textId="77777777" w:rsidTr="00AB4E39">
        <w:tc>
          <w:tcPr>
            <w:tcW w:w="4428" w:type="dxa"/>
          </w:tcPr>
          <w:p w14:paraId="33BEF303" w14:textId="77333F61" w:rsidR="008430EB" w:rsidRDefault="008430EB" w:rsidP="00AB4E39">
            <w:pPr>
              <w:pStyle w:val="NoSpacing"/>
              <w:jc w:val="center"/>
            </w:pPr>
            <w:r>
              <w:t>2.5</w:t>
            </w:r>
          </w:p>
        </w:tc>
        <w:tc>
          <w:tcPr>
            <w:tcW w:w="4428" w:type="dxa"/>
          </w:tcPr>
          <w:p w14:paraId="3F7D9AD3" w14:textId="017ABD05" w:rsidR="008430EB" w:rsidRDefault="00620AF3" w:rsidP="00AB4E39">
            <w:pPr>
              <w:pStyle w:val="NoSpacing"/>
              <w:jc w:val="center"/>
            </w:pPr>
            <w:r>
              <w:t>344.7</w:t>
            </w:r>
          </w:p>
        </w:tc>
      </w:tr>
      <w:tr w:rsidR="008430EB" w14:paraId="22EC3BF4" w14:textId="77777777" w:rsidTr="00AB4E39">
        <w:tc>
          <w:tcPr>
            <w:tcW w:w="4428" w:type="dxa"/>
          </w:tcPr>
          <w:p w14:paraId="0B8476B0" w14:textId="04135C56" w:rsidR="008430EB" w:rsidRDefault="008430EB" w:rsidP="00AB4E39">
            <w:pPr>
              <w:pStyle w:val="NoSpacing"/>
              <w:jc w:val="center"/>
            </w:pPr>
            <w:r>
              <w:t>2.5</w:t>
            </w:r>
          </w:p>
        </w:tc>
        <w:tc>
          <w:tcPr>
            <w:tcW w:w="4428" w:type="dxa"/>
          </w:tcPr>
          <w:p w14:paraId="73C9E1E6" w14:textId="5CB224C2" w:rsidR="008430EB" w:rsidRDefault="00620AF3" w:rsidP="00AB4E39">
            <w:pPr>
              <w:pStyle w:val="NoSpacing"/>
              <w:jc w:val="center"/>
            </w:pPr>
            <w:r>
              <w:t>350.1</w:t>
            </w:r>
          </w:p>
        </w:tc>
      </w:tr>
      <w:tr w:rsidR="008430EB" w14:paraId="4CCC50BF" w14:textId="77777777" w:rsidTr="00AB4E39">
        <w:tc>
          <w:tcPr>
            <w:tcW w:w="4428" w:type="dxa"/>
          </w:tcPr>
          <w:p w14:paraId="5BC4BBCF" w14:textId="75C9F886" w:rsidR="008430EB" w:rsidRDefault="008430EB" w:rsidP="00AB4E39">
            <w:pPr>
              <w:pStyle w:val="NoSpacing"/>
              <w:jc w:val="center"/>
            </w:pPr>
            <w:r>
              <w:t>5</w:t>
            </w:r>
          </w:p>
        </w:tc>
        <w:tc>
          <w:tcPr>
            <w:tcW w:w="4428" w:type="dxa"/>
          </w:tcPr>
          <w:p w14:paraId="2565C892" w14:textId="39390C4E" w:rsidR="008430EB" w:rsidRDefault="00620AF3" w:rsidP="00AB4E39">
            <w:pPr>
              <w:pStyle w:val="NoSpacing"/>
              <w:jc w:val="center"/>
            </w:pPr>
            <w:r>
              <w:t>340.2</w:t>
            </w:r>
          </w:p>
        </w:tc>
      </w:tr>
      <w:tr w:rsidR="008430EB" w14:paraId="70BA20EC" w14:textId="77777777" w:rsidTr="00AB4E39">
        <w:tc>
          <w:tcPr>
            <w:tcW w:w="4428" w:type="dxa"/>
          </w:tcPr>
          <w:p w14:paraId="554282B5" w14:textId="6050301A" w:rsidR="008430EB" w:rsidRDefault="008430EB" w:rsidP="00AB4E39">
            <w:pPr>
              <w:pStyle w:val="NoSpacing"/>
              <w:jc w:val="center"/>
            </w:pPr>
            <w:r>
              <w:t>5</w:t>
            </w:r>
          </w:p>
        </w:tc>
        <w:tc>
          <w:tcPr>
            <w:tcW w:w="4428" w:type="dxa"/>
          </w:tcPr>
          <w:p w14:paraId="739D32FE" w14:textId="5C99EBDE" w:rsidR="008430EB" w:rsidRDefault="00620AF3" w:rsidP="00AB4E39">
            <w:pPr>
              <w:pStyle w:val="NoSpacing"/>
              <w:jc w:val="center"/>
            </w:pPr>
            <w:r>
              <w:t>341.1</w:t>
            </w:r>
          </w:p>
        </w:tc>
      </w:tr>
      <w:tr w:rsidR="008430EB" w14:paraId="69F68E7D" w14:textId="77777777" w:rsidTr="00AB4E39">
        <w:tc>
          <w:tcPr>
            <w:tcW w:w="4428" w:type="dxa"/>
          </w:tcPr>
          <w:p w14:paraId="2F8DF83E" w14:textId="7F52465C" w:rsidR="008430EB" w:rsidRDefault="008430EB" w:rsidP="00AB4E39">
            <w:pPr>
              <w:pStyle w:val="NoSpacing"/>
              <w:jc w:val="center"/>
            </w:pPr>
            <w:r>
              <w:t>5</w:t>
            </w:r>
          </w:p>
        </w:tc>
        <w:tc>
          <w:tcPr>
            <w:tcW w:w="4428" w:type="dxa"/>
          </w:tcPr>
          <w:p w14:paraId="74793BC3" w14:textId="17FA9432" w:rsidR="008430EB" w:rsidRDefault="00620AF3" w:rsidP="00AB4E39">
            <w:pPr>
              <w:pStyle w:val="NoSpacing"/>
              <w:jc w:val="center"/>
            </w:pPr>
            <w:r>
              <w:t>345.5</w:t>
            </w:r>
          </w:p>
        </w:tc>
      </w:tr>
      <w:tr w:rsidR="008430EB" w14:paraId="183E1A75" w14:textId="77777777" w:rsidTr="00AB4E39">
        <w:tc>
          <w:tcPr>
            <w:tcW w:w="4428" w:type="dxa"/>
          </w:tcPr>
          <w:p w14:paraId="32C54BEB" w14:textId="12622D5D" w:rsidR="008430EB" w:rsidRDefault="008430EB" w:rsidP="00AB4E39">
            <w:pPr>
              <w:pStyle w:val="NoSpacing"/>
              <w:jc w:val="center"/>
            </w:pPr>
            <w:r>
              <w:t>5</w:t>
            </w:r>
          </w:p>
        </w:tc>
        <w:tc>
          <w:tcPr>
            <w:tcW w:w="4428" w:type="dxa"/>
          </w:tcPr>
          <w:p w14:paraId="55FE4F89" w14:textId="0313EEE6" w:rsidR="008430EB" w:rsidRDefault="00620AF3" w:rsidP="00AB4E39">
            <w:pPr>
              <w:pStyle w:val="NoSpacing"/>
              <w:jc w:val="center"/>
            </w:pPr>
            <w:r>
              <w:t>331.9</w:t>
            </w:r>
          </w:p>
        </w:tc>
      </w:tr>
      <w:tr w:rsidR="008430EB" w14:paraId="1D51F277" w14:textId="77777777" w:rsidTr="00AB4E39">
        <w:tc>
          <w:tcPr>
            <w:tcW w:w="4428" w:type="dxa"/>
          </w:tcPr>
          <w:p w14:paraId="2189AC42" w14:textId="5B72F8AA" w:rsidR="008430EB" w:rsidRDefault="008430EB" w:rsidP="00AB4E39">
            <w:pPr>
              <w:pStyle w:val="NoSpacing"/>
              <w:jc w:val="center"/>
            </w:pPr>
            <w:r>
              <w:t>5</w:t>
            </w:r>
          </w:p>
        </w:tc>
        <w:tc>
          <w:tcPr>
            <w:tcW w:w="4428" w:type="dxa"/>
          </w:tcPr>
          <w:p w14:paraId="39A22AD5" w14:textId="2EC0B1E4" w:rsidR="008430EB" w:rsidRDefault="00620AF3" w:rsidP="00AB4E39">
            <w:pPr>
              <w:pStyle w:val="NoSpacing"/>
              <w:jc w:val="center"/>
            </w:pPr>
            <w:r>
              <w:t>347.4</w:t>
            </w:r>
          </w:p>
        </w:tc>
      </w:tr>
      <w:tr w:rsidR="008430EB" w14:paraId="00005788" w14:textId="77777777" w:rsidTr="00AB4E39">
        <w:tc>
          <w:tcPr>
            <w:tcW w:w="4428" w:type="dxa"/>
          </w:tcPr>
          <w:p w14:paraId="6BCF84D6" w14:textId="64BA6E38" w:rsidR="008430EB" w:rsidRDefault="008430EB" w:rsidP="00AB4E39">
            <w:pPr>
              <w:pStyle w:val="NoSpacing"/>
              <w:jc w:val="center"/>
            </w:pPr>
            <w:r>
              <w:t>20</w:t>
            </w:r>
          </w:p>
        </w:tc>
        <w:tc>
          <w:tcPr>
            <w:tcW w:w="4428" w:type="dxa"/>
          </w:tcPr>
          <w:p w14:paraId="1327FC22" w14:textId="2112E4D9" w:rsidR="008430EB" w:rsidRDefault="00620AF3" w:rsidP="00AB4E39">
            <w:pPr>
              <w:pStyle w:val="NoSpacing"/>
              <w:jc w:val="center"/>
            </w:pPr>
            <w:r>
              <w:t>3</w:t>
            </w:r>
            <w:r w:rsidR="00AB4E39">
              <w:t>31.1</w:t>
            </w:r>
          </w:p>
        </w:tc>
      </w:tr>
      <w:tr w:rsidR="008430EB" w14:paraId="61575FB7" w14:textId="77777777" w:rsidTr="00AB4E39">
        <w:tc>
          <w:tcPr>
            <w:tcW w:w="4428" w:type="dxa"/>
          </w:tcPr>
          <w:p w14:paraId="282AB235" w14:textId="5F2339BA" w:rsidR="008430EB" w:rsidRDefault="008430EB" w:rsidP="00AB4E39">
            <w:pPr>
              <w:pStyle w:val="NoSpacing"/>
              <w:jc w:val="center"/>
            </w:pPr>
            <w:r>
              <w:t>20</w:t>
            </w:r>
          </w:p>
        </w:tc>
        <w:tc>
          <w:tcPr>
            <w:tcW w:w="4428" w:type="dxa"/>
          </w:tcPr>
          <w:p w14:paraId="09035EC5" w14:textId="6CE21CDD" w:rsidR="008430EB" w:rsidRDefault="00AB4E39" w:rsidP="00AB4E39">
            <w:pPr>
              <w:pStyle w:val="NoSpacing"/>
              <w:jc w:val="center"/>
            </w:pPr>
            <w:r>
              <w:t>320.9</w:t>
            </w:r>
          </w:p>
        </w:tc>
      </w:tr>
      <w:tr w:rsidR="008430EB" w14:paraId="76E280C9" w14:textId="77777777" w:rsidTr="00AB4E39">
        <w:tc>
          <w:tcPr>
            <w:tcW w:w="4428" w:type="dxa"/>
          </w:tcPr>
          <w:p w14:paraId="6FFFD980" w14:textId="656A772D" w:rsidR="008430EB" w:rsidRDefault="008430EB" w:rsidP="00AB4E39">
            <w:pPr>
              <w:pStyle w:val="NoSpacing"/>
              <w:jc w:val="center"/>
            </w:pPr>
            <w:r>
              <w:t>20</w:t>
            </w:r>
          </w:p>
        </w:tc>
        <w:tc>
          <w:tcPr>
            <w:tcW w:w="4428" w:type="dxa"/>
          </w:tcPr>
          <w:p w14:paraId="45480487" w14:textId="397A47CA" w:rsidR="008430EB" w:rsidRDefault="00AB4E39" w:rsidP="00AB4E39">
            <w:pPr>
              <w:pStyle w:val="NoSpacing"/>
              <w:jc w:val="center"/>
            </w:pPr>
            <w:r>
              <w:t>319.4</w:t>
            </w:r>
          </w:p>
        </w:tc>
      </w:tr>
      <w:tr w:rsidR="008430EB" w14:paraId="29A461DC" w14:textId="77777777" w:rsidTr="00AB4E39">
        <w:tc>
          <w:tcPr>
            <w:tcW w:w="4428" w:type="dxa"/>
          </w:tcPr>
          <w:p w14:paraId="6A73A5BD" w14:textId="406AD4AF" w:rsidR="008430EB" w:rsidRDefault="008430EB" w:rsidP="00AB4E39">
            <w:pPr>
              <w:pStyle w:val="NoSpacing"/>
              <w:jc w:val="center"/>
            </w:pPr>
            <w:r>
              <w:t>20</w:t>
            </w:r>
          </w:p>
        </w:tc>
        <w:tc>
          <w:tcPr>
            <w:tcW w:w="4428" w:type="dxa"/>
          </w:tcPr>
          <w:p w14:paraId="71AA3446" w14:textId="2320F3D1" w:rsidR="008430EB" w:rsidRDefault="00AB4E39" w:rsidP="00AB4E39">
            <w:pPr>
              <w:pStyle w:val="NoSpacing"/>
              <w:jc w:val="center"/>
            </w:pPr>
            <w:r>
              <w:t>308.9</w:t>
            </w:r>
          </w:p>
        </w:tc>
      </w:tr>
      <w:tr w:rsidR="008430EB" w14:paraId="09A17828" w14:textId="77777777" w:rsidTr="00AB4E39">
        <w:tc>
          <w:tcPr>
            <w:tcW w:w="4428" w:type="dxa"/>
          </w:tcPr>
          <w:p w14:paraId="224AF54A" w14:textId="5D6E2785" w:rsidR="008430EB" w:rsidRDefault="008430EB" w:rsidP="00AB4E39">
            <w:pPr>
              <w:pStyle w:val="NoSpacing"/>
              <w:jc w:val="center"/>
            </w:pPr>
            <w:r>
              <w:t>20</w:t>
            </w:r>
          </w:p>
        </w:tc>
        <w:tc>
          <w:tcPr>
            <w:tcW w:w="4428" w:type="dxa"/>
          </w:tcPr>
          <w:p w14:paraId="30B0CC7C" w14:textId="42364DD3" w:rsidR="008430EB" w:rsidRDefault="00AB4E39" w:rsidP="00AB4E39">
            <w:pPr>
              <w:pStyle w:val="NoSpacing"/>
              <w:jc w:val="center"/>
            </w:pPr>
            <w:r>
              <w:t>314.3</w:t>
            </w:r>
          </w:p>
        </w:tc>
      </w:tr>
    </w:tbl>
    <w:p w14:paraId="0C7F8D0D" w14:textId="77777777" w:rsidR="00937FFD" w:rsidRDefault="00937FFD" w:rsidP="00F9353B">
      <w:pPr>
        <w:pStyle w:val="NoSpacing"/>
        <w:ind w:left="720"/>
      </w:pPr>
    </w:p>
    <w:p w14:paraId="1452E39F" w14:textId="77777777" w:rsidR="00937FFD" w:rsidRDefault="00937FFD" w:rsidP="00F9353B">
      <w:pPr>
        <w:pStyle w:val="NoSpacing"/>
        <w:ind w:left="720"/>
      </w:pPr>
    </w:p>
    <w:p w14:paraId="6020900A" w14:textId="1C72244A" w:rsidR="00745B91" w:rsidRDefault="00650CF7" w:rsidP="00F9353B">
      <w:pPr>
        <w:pStyle w:val="NoSpacing"/>
        <w:ind w:left="720"/>
      </w:pPr>
      <w:r>
        <w:t>Once the data have been entered, press “Save dataset” to save the dataset.</w:t>
      </w:r>
      <w:r w:rsidR="00C3164E">
        <w:t xml:space="preserve"> Please refresh your browser to make sure data set has been successfully saved.</w:t>
      </w:r>
    </w:p>
    <w:p w14:paraId="3094AB5F" w14:textId="77777777" w:rsidR="00D14666" w:rsidRDefault="00D14666" w:rsidP="00AB4E39">
      <w:pPr>
        <w:pStyle w:val="NoSpacing"/>
      </w:pPr>
    </w:p>
    <w:p w14:paraId="38547AA2" w14:textId="77777777" w:rsidR="00AB4E39" w:rsidRDefault="00AB4E39" w:rsidP="00AB4E39">
      <w:pPr>
        <w:pStyle w:val="NoSpacing"/>
      </w:pPr>
    </w:p>
    <w:p w14:paraId="527F265D" w14:textId="77777777" w:rsidR="00F9353B" w:rsidRPr="003B0382" w:rsidRDefault="004C1723" w:rsidP="005E2A5D">
      <w:pPr>
        <w:pStyle w:val="NoSpacing"/>
        <w:numPr>
          <w:ilvl w:val="1"/>
          <w:numId w:val="3"/>
        </w:numPr>
        <w:outlineLvl w:val="1"/>
        <w:rPr>
          <w:b/>
          <w:i/>
        </w:rPr>
      </w:pPr>
      <w:bookmarkStart w:id="6" w:name="_Toc445740010"/>
      <w:r w:rsidRPr="003B0382">
        <w:rPr>
          <w:b/>
          <w:i/>
        </w:rPr>
        <w:t>Data Pre-Analysis</w:t>
      </w:r>
      <w:bookmarkEnd w:id="6"/>
    </w:p>
    <w:p w14:paraId="665E7083" w14:textId="77777777" w:rsidR="00C3164E" w:rsidRDefault="00C3164E" w:rsidP="00A6485D">
      <w:pPr>
        <w:pStyle w:val="NoSpacing"/>
        <w:ind w:left="720"/>
      </w:pPr>
    </w:p>
    <w:p w14:paraId="758578A4" w14:textId="792AA19E" w:rsidR="00C3164E" w:rsidRDefault="00C3164E" w:rsidP="00C3164E">
      <w:pPr>
        <w:pStyle w:val="NoSpacing"/>
        <w:ind w:left="720"/>
      </w:pPr>
      <w:r>
        <w:t>Once the dataset is saved, the “Data preview” section will display the data in a table and show the data points graphically.</w:t>
      </w:r>
      <w:r w:rsidR="007B7E3F">
        <w:t xml:space="preserve"> This plot just simply show the dose-response data but not model fitting results.</w:t>
      </w:r>
    </w:p>
    <w:p w14:paraId="500F498D" w14:textId="77777777" w:rsidR="00C3164E" w:rsidRDefault="00C3164E" w:rsidP="00A6485D">
      <w:pPr>
        <w:pStyle w:val="NoSpacing"/>
        <w:ind w:left="720"/>
      </w:pPr>
    </w:p>
    <w:p w14:paraId="72EFA93B" w14:textId="77777777" w:rsidR="00A6485D" w:rsidRDefault="003B0382" w:rsidP="00A6485D">
      <w:pPr>
        <w:pStyle w:val="NoSpacing"/>
        <w:ind w:left="720"/>
      </w:pPr>
      <w:r>
        <w:t xml:space="preserve">A trend test (using the </w:t>
      </w:r>
      <w:r w:rsidRPr="003B0382">
        <w:t>Cochran-Armitage linear trend test</w:t>
      </w:r>
      <w:r>
        <w:t>, same as the BMDS) will be conducted once the dataset is saved. A p-value and z-score will be reported below the data table in the “Data preview” section.</w:t>
      </w:r>
    </w:p>
    <w:p w14:paraId="71E6EDE0" w14:textId="77777777" w:rsidR="00A01C26" w:rsidRDefault="00A01C26" w:rsidP="003B0382">
      <w:pPr>
        <w:pStyle w:val="NoSpacing"/>
      </w:pPr>
    </w:p>
    <w:p w14:paraId="6A1F7ADF" w14:textId="77777777" w:rsidR="00F377EC" w:rsidRDefault="00F377EC" w:rsidP="00F377EC">
      <w:pPr>
        <w:pStyle w:val="NoSpacing"/>
      </w:pPr>
    </w:p>
    <w:p w14:paraId="54B9A72F" w14:textId="77777777" w:rsidR="00F377EC" w:rsidRPr="00642944" w:rsidRDefault="00F377EC" w:rsidP="00F377EC">
      <w:pPr>
        <w:pStyle w:val="NoSpacing"/>
        <w:numPr>
          <w:ilvl w:val="0"/>
          <w:numId w:val="3"/>
        </w:numPr>
        <w:outlineLvl w:val="0"/>
        <w:rPr>
          <w:b/>
          <w:sz w:val="24"/>
        </w:rPr>
      </w:pPr>
      <w:bookmarkStart w:id="7" w:name="_Toc445740011"/>
      <w:r w:rsidRPr="00642944">
        <w:rPr>
          <w:b/>
          <w:sz w:val="24"/>
        </w:rPr>
        <w:t>MCMC Settings</w:t>
      </w:r>
      <w:bookmarkEnd w:id="7"/>
    </w:p>
    <w:p w14:paraId="714F9EAC" w14:textId="77777777" w:rsidR="00F377EC" w:rsidRDefault="00F377EC" w:rsidP="00F377EC">
      <w:pPr>
        <w:pStyle w:val="NoSpacing"/>
        <w:ind w:left="720"/>
      </w:pPr>
    </w:p>
    <w:p w14:paraId="16871C35" w14:textId="77777777" w:rsidR="00F377EC" w:rsidRDefault="00F377EC" w:rsidP="00F377EC">
      <w:pPr>
        <w:pStyle w:val="NoSpacing"/>
        <w:ind w:left="720"/>
      </w:pPr>
      <w:r>
        <w:t>On this page, you need to specify some settings for the MCMC algorithms.</w:t>
      </w:r>
    </w:p>
    <w:p w14:paraId="5851CA23" w14:textId="7F6D589F" w:rsidR="00F377EC" w:rsidRDefault="00F377EC" w:rsidP="00F377EC">
      <w:pPr>
        <w:pStyle w:val="NoSpacing"/>
        <w:ind w:left="720"/>
      </w:pPr>
      <w:r>
        <w:t>“Iterations” is the length of MCMC chain, i.e., the number of posterior sample in each MCMC chain. Default value is 10,000. The allowable range is any integer between 2,000 and 100,000.</w:t>
      </w:r>
    </w:p>
    <w:p w14:paraId="54C472FC" w14:textId="77777777" w:rsidR="00F377EC" w:rsidRDefault="00F377EC" w:rsidP="00F377EC">
      <w:pPr>
        <w:pStyle w:val="NoSpacing"/>
        <w:ind w:left="720"/>
      </w:pPr>
    </w:p>
    <w:p w14:paraId="0F7C1853" w14:textId="608EDA6E" w:rsidR="00F377EC" w:rsidRDefault="00ED5AB3" w:rsidP="00F377EC">
      <w:pPr>
        <w:pStyle w:val="NoSpacing"/>
        <w:ind w:left="720"/>
      </w:pPr>
      <w:r>
        <w:t xml:space="preserve">“Number of chains” is </w:t>
      </w:r>
      <w:r w:rsidR="00F377EC">
        <w:t>the number of Markov Chain to be sampled. Default value is 4.</w:t>
      </w:r>
      <w:r>
        <w:t xml:space="preserve"> Allowable range is 4 ~ 8.</w:t>
      </w:r>
    </w:p>
    <w:p w14:paraId="26BDD569" w14:textId="77777777" w:rsidR="00F377EC" w:rsidRDefault="00F377EC" w:rsidP="00F377EC">
      <w:pPr>
        <w:pStyle w:val="NoSpacing"/>
        <w:ind w:left="720"/>
      </w:pPr>
    </w:p>
    <w:p w14:paraId="5BB0EBE5" w14:textId="3D756AAB" w:rsidR="00F377EC" w:rsidRDefault="00F377EC" w:rsidP="00F377EC">
      <w:pPr>
        <w:pStyle w:val="NoSpacing"/>
        <w:ind w:left="720"/>
      </w:pPr>
      <w:r>
        <w:t>“Warmup percent (%)”, the percent of sample in each Markov Chain will be discarded from the final posterior sample. Default value is</w:t>
      </w:r>
      <w:r w:rsidR="00ED5AB3">
        <w:t xml:space="preserve"> 25% with </w:t>
      </w:r>
      <w:proofErr w:type="gramStart"/>
      <w:r w:rsidR="00ED5AB3">
        <w:t>a</w:t>
      </w:r>
      <w:proofErr w:type="gramEnd"/>
      <w:r w:rsidR="00ED5AB3">
        <w:t xml:space="preserve"> allowable range of 10% ~ 90%.</w:t>
      </w:r>
    </w:p>
    <w:p w14:paraId="2D56865C" w14:textId="77777777" w:rsidR="00F377EC" w:rsidRDefault="00F377EC" w:rsidP="00F377EC">
      <w:pPr>
        <w:pStyle w:val="NoSpacing"/>
        <w:ind w:left="720"/>
      </w:pPr>
    </w:p>
    <w:p w14:paraId="6B6D4CEA" w14:textId="77777777" w:rsidR="00F377EC" w:rsidRDefault="00F377EC" w:rsidP="00F377EC">
      <w:pPr>
        <w:pStyle w:val="NoSpacing"/>
        <w:ind w:left="720"/>
      </w:pPr>
      <w:r>
        <w:t>So, using the default values, the final number of posterior sample (without the warmup sample) you can get is:</w:t>
      </w:r>
    </w:p>
    <w:p w14:paraId="5B2C9083" w14:textId="77777777" w:rsidR="00F377EC" w:rsidRDefault="00F377EC" w:rsidP="00F377EC">
      <w:pPr>
        <w:pStyle w:val="NoSpacing"/>
        <w:ind w:left="720"/>
      </w:pPr>
      <m:oMathPara>
        <m:oMath>
          <m:r>
            <w:rPr>
              <w:rFonts w:ascii="Cambria Math" w:hAnsi="Cambria Math"/>
            </w:rPr>
            <m:t>10000×4×</m:t>
          </m:r>
          <m:d>
            <m:dPr>
              <m:ctrlPr>
                <w:rPr>
                  <w:rFonts w:ascii="Cambria Math" w:hAnsi="Cambria Math"/>
                  <w:i/>
                </w:rPr>
              </m:ctrlPr>
            </m:dPr>
            <m:e>
              <m:r>
                <w:rPr>
                  <w:rFonts w:ascii="Cambria Math" w:hAnsi="Cambria Math"/>
                </w:rPr>
                <m:t>1-25%</m:t>
              </m:r>
            </m:e>
          </m:d>
          <m:r>
            <w:rPr>
              <w:rFonts w:ascii="Cambria Math" w:hAnsi="Cambria Math"/>
            </w:rPr>
            <m:t>=30000</m:t>
          </m:r>
        </m:oMath>
      </m:oMathPara>
    </w:p>
    <w:p w14:paraId="57B0D3D2" w14:textId="77777777" w:rsidR="00F377EC" w:rsidRDefault="00F377EC" w:rsidP="00F377EC">
      <w:pPr>
        <w:pStyle w:val="NoSpacing"/>
        <w:ind w:left="720"/>
      </w:pPr>
    </w:p>
    <w:p w14:paraId="35BAFE26" w14:textId="77777777" w:rsidR="00F377EC" w:rsidRDefault="00F377EC" w:rsidP="00F377EC">
      <w:pPr>
        <w:pStyle w:val="NoSpacing"/>
        <w:ind w:left="720"/>
      </w:pPr>
      <w:r>
        <w:t>“Seed” is random seed number used in the MCMC algorithms. The number is randomly generated, but you can specify the number for the purpose of reproduction.</w:t>
      </w:r>
    </w:p>
    <w:p w14:paraId="61B4CFFE" w14:textId="77777777" w:rsidR="00F377EC" w:rsidRDefault="00F377EC" w:rsidP="00F377EC">
      <w:pPr>
        <w:pStyle w:val="NoSpacing"/>
        <w:ind w:left="720"/>
      </w:pPr>
    </w:p>
    <w:p w14:paraId="3525A544" w14:textId="02AB7F38" w:rsidR="007B7E3F" w:rsidRDefault="00F377EC" w:rsidP="00405508">
      <w:pPr>
        <w:pStyle w:val="NoSpacing"/>
        <w:ind w:left="720"/>
      </w:pPr>
      <w:r>
        <w:t>Once these valu</w:t>
      </w:r>
      <w:r w:rsidR="00ED5AB3">
        <w:t>es are specified, click “Save</w:t>
      </w:r>
      <w:r w:rsidR="00405508">
        <w:t xml:space="preserve"> run settings” to save the MCMC settings</w:t>
      </w:r>
      <w:r>
        <w:t xml:space="preserve">. Default settings are generally acceptable. However, results in the next step will provide important information that can help you judge if the MCMC settings are appropriate. </w:t>
      </w:r>
    </w:p>
    <w:p w14:paraId="083C2FBC" w14:textId="77777777" w:rsidR="00405508" w:rsidRDefault="00405508" w:rsidP="00405508">
      <w:pPr>
        <w:pStyle w:val="NoSpacing"/>
        <w:ind w:left="720"/>
      </w:pPr>
    </w:p>
    <w:p w14:paraId="73873430" w14:textId="77777777" w:rsidR="007B7E3F" w:rsidRDefault="007B7E3F" w:rsidP="003B0382">
      <w:pPr>
        <w:pStyle w:val="NoSpacing"/>
      </w:pPr>
    </w:p>
    <w:p w14:paraId="4340B152" w14:textId="0084A4F0" w:rsidR="003B0382" w:rsidRPr="009A6C66" w:rsidRDefault="00405508" w:rsidP="005E2A5D">
      <w:pPr>
        <w:pStyle w:val="NoSpacing"/>
        <w:numPr>
          <w:ilvl w:val="0"/>
          <w:numId w:val="3"/>
        </w:numPr>
        <w:outlineLvl w:val="0"/>
        <w:rPr>
          <w:b/>
          <w:sz w:val="24"/>
        </w:rPr>
      </w:pPr>
      <w:bookmarkStart w:id="8" w:name="_Toc445740012"/>
      <w:r>
        <w:rPr>
          <w:b/>
          <w:sz w:val="24"/>
        </w:rPr>
        <w:t xml:space="preserve">Model </w:t>
      </w:r>
      <w:r w:rsidR="00A01C26" w:rsidRPr="009A6C66">
        <w:rPr>
          <w:b/>
          <w:sz w:val="24"/>
        </w:rPr>
        <w:t>Settings</w:t>
      </w:r>
      <w:bookmarkEnd w:id="8"/>
    </w:p>
    <w:p w14:paraId="23DF75E0" w14:textId="77777777" w:rsidR="009A6C66" w:rsidRDefault="009A6C66" w:rsidP="00A01C26">
      <w:pPr>
        <w:pStyle w:val="NoSpacing"/>
        <w:ind w:left="720"/>
      </w:pPr>
    </w:p>
    <w:p w14:paraId="4EB9D91B" w14:textId="1151E12C" w:rsidR="00A01C26" w:rsidRDefault="00405508" w:rsidP="00A01C26">
      <w:pPr>
        <w:pStyle w:val="NoSpacing"/>
        <w:ind w:left="720"/>
      </w:pPr>
      <w:r>
        <w:t xml:space="preserve">Once data </w:t>
      </w:r>
      <w:r w:rsidR="00A01C26">
        <w:t xml:space="preserve">input </w:t>
      </w:r>
      <w:r>
        <w:t>and MCMC settings are</w:t>
      </w:r>
      <w:r w:rsidR="00A01C26">
        <w:t xml:space="preserve"> completed, go to the nex</w:t>
      </w:r>
      <w:r w:rsidR="00FF2439">
        <w:t>t tab “Model settings”. In this step, you should choose the model(s) to fit the data.</w:t>
      </w:r>
    </w:p>
    <w:p w14:paraId="4ACACCA1" w14:textId="77777777" w:rsidR="00FF2439" w:rsidRDefault="00FF2439" w:rsidP="00A01C26">
      <w:pPr>
        <w:pStyle w:val="NoSpacing"/>
        <w:ind w:left="720"/>
      </w:pPr>
    </w:p>
    <w:p w14:paraId="611924F0" w14:textId="77777777" w:rsidR="00DF1CEC" w:rsidRPr="00642944" w:rsidRDefault="005C51A9" w:rsidP="005E2A5D">
      <w:pPr>
        <w:pStyle w:val="NoSpacing"/>
        <w:numPr>
          <w:ilvl w:val="1"/>
          <w:numId w:val="3"/>
        </w:numPr>
        <w:outlineLvl w:val="1"/>
        <w:rPr>
          <w:b/>
          <w:i/>
        </w:rPr>
      </w:pPr>
      <w:bookmarkStart w:id="9" w:name="_Toc445740013"/>
      <w:r w:rsidRPr="00642944">
        <w:rPr>
          <w:b/>
          <w:i/>
        </w:rPr>
        <w:t xml:space="preserve">Available </w:t>
      </w:r>
      <w:r w:rsidR="00DF1CEC" w:rsidRPr="00642944">
        <w:rPr>
          <w:b/>
          <w:i/>
        </w:rPr>
        <w:t>Model</w:t>
      </w:r>
      <w:r w:rsidRPr="00642944">
        <w:rPr>
          <w:b/>
          <w:i/>
        </w:rPr>
        <w:t>s and</w:t>
      </w:r>
      <w:r w:rsidR="00DF1CEC" w:rsidRPr="00642944">
        <w:rPr>
          <w:b/>
          <w:i/>
        </w:rPr>
        <w:t xml:space="preserve"> Settings</w:t>
      </w:r>
      <w:bookmarkEnd w:id="9"/>
    </w:p>
    <w:p w14:paraId="4C1074C9" w14:textId="77777777" w:rsidR="00405508" w:rsidRDefault="00405508" w:rsidP="00A01C26">
      <w:pPr>
        <w:pStyle w:val="NoSpacing"/>
        <w:ind w:left="720"/>
      </w:pPr>
      <w:r>
        <w:t>There are nine dose-response models for dichotomous data (no matter summary or individual data) and eight dose-response models for continuous data (no matter summary or individual data). Based on the data type you input and saved in the “Data input” step, a set of dose-response models for dichotomous or continuous data will show for selection.</w:t>
      </w:r>
    </w:p>
    <w:p w14:paraId="0D380611" w14:textId="2E5D143E" w:rsidR="00405508" w:rsidRDefault="00405508" w:rsidP="00A01C26">
      <w:pPr>
        <w:pStyle w:val="NoSpacing"/>
        <w:ind w:left="720"/>
      </w:pPr>
      <w:r>
        <w:t xml:space="preserve">  </w:t>
      </w:r>
    </w:p>
    <w:p w14:paraId="1CAAECF9" w14:textId="45C1102F" w:rsidR="00FF2439" w:rsidRDefault="00405508" w:rsidP="00A01C26">
      <w:pPr>
        <w:pStyle w:val="NoSpacing"/>
        <w:ind w:left="720"/>
      </w:pPr>
      <w:r>
        <w:t>There are nine</w:t>
      </w:r>
      <w:r w:rsidR="00FF2439">
        <w:t xml:space="preserve"> dose-response models for dichotomous data </w:t>
      </w:r>
      <w:r w:rsidR="005C51A9">
        <w:t>available.</w:t>
      </w:r>
    </w:p>
    <w:p w14:paraId="6451C181" w14:textId="77777777" w:rsidR="009D60DE" w:rsidRDefault="009D60DE" w:rsidP="009D60DE">
      <w:pPr>
        <w:pStyle w:val="NoSpacing"/>
        <w:numPr>
          <w:ilvl w:val="0"/>
          <w:numId w:val="4"/>
        </w:numPr>
      </w:pPr>
      <w:r>
        <w:t>Logistic model</w:t>
      </w:r>
    </w:p>
    <w:p w14:paraId="2F7962C8" w14:textId="77777777" w:rsidR="002023DA" w:rsidRDefault="002023DA" w:rsidP="009D60DE">
      <w:pPr>
        <w:pStyle w:val="NoSpacing"/>
        <w:ind w:left="1080"/>
      </w:pPr>
    </w:p>
    <w:p w14:paraId="5ECF623B" w14:textId="77777777" w:rsidR="009D60DE" w:rsidRPr="002023DA" w:rsidRDefault="002023DA" w:rsidP="009D60DE">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-a-b×dose</m:t>
                  </m:r>
                </m:sup>
              </m:sSup>
            </m:den>
          </m:f>
        </m:oMath>
      </m:oMathPara>
    </w:p>
    <w:p w14:paraId="54F84786" w14:textId="77777777" w:rsidR="002023DA" w:rsidRDefault="002023DA" w:rsidP="009D60DE">
      <w:pPr>
        <w:pStyle w:val="NoSpacing"/>
        <w:ind w:left="1080"/>
      </w:pPr>
    </w:p>
    <w:p w14:paraId="53DCD491" w14:textId="77777777" w:rsidR="002023DA" w:rsidRDefault="002023DA" w:rsidP="009D60DE">
      <w:pPr>
        <w:pStyle w:val="NoSpacing"/>
        <w:ind w:left="1080"/>
      </w:pPr>
      <w:r>
        <w:t>Current setting for model parameter priors are:</w:t>
      </w:r>
    </w:p>
    <w:p w14:paraId="59D3A64D" w14:textId="77777777" w:rsidR="00941434" w:rsidRDefault="00941434" w:rsidP="009D60DE">
      <w:pPr>
        <w:pStyle w:val="NoSpacing"/>
        <w:ind w:left="1080"/>
      </w:pPr>
    </w:p>
    <w:p w14:paraId="279FB9D5" w14:textId="77777777" w:rsidR="00941434" w:rsidRPr="002C27BE" w:rsidRDefault="00941434" w:rsidP="009D60DE">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-50,50</m:t>
              </m:r>
            </m:e>
          </m:d>
          <m:r>
            <w:rPr>
              <w:rFonts w:ascii="Cambria Math" w:hAnsi="Cambria Math"/>
            </w:rPr>
            <m:t>; b~Uniform(0,100)</m:t>
          </m:r>
        </m:oMath>
      </m:oMathPara>
    </w:p>
    <w:p w14:paraId="2C998EE0" w14:textId="77777777" w:rsidR="002C27BE" w:rsidRDefault="002C27BE" w:rsidP="009D60DE">
      <w:pPr>
        <w:pStyle w:val="NoSpacing"/>
        <w:ind w:left="1080"/>
      </w:pPr>
    </w:p>
    <w:p w14:paraId="35A8DC66" w14:textId="77777777" w:rsidR="002023DA" w:rsidRDefault="002023DA" w:rsidP="00941434">
      <w:pPr>
        <w:pStyle w:val="NoSpacing"/>
      </w:pPr>
    </w:p>
    <w:p w14:paraId="2A1BFB7D" w14:textId="77777777" w:rsidR="009D60DE" w:rsidRDefault="002023DA" w:rsidP="009D60DE">
      <w:pPr>
        <w:pStyle w:val="NoSpacing"/>
        <w:numPr>
          <w:ilvl w:val="0"/>
          <w:numId w:val="4"/>
        </w:numPr>
      </w:pPr>
      <w:proofErr w:type="spellStart"/>
      <w:r>
        <w:t>Probit</w:t>
      </w:r>
      <w:proofErr w:type="spellEnd"/>
      <w:r>
        <w:t xml:space="preserve"> model</w:t>
      </w:r>
    </w:p>
    <w:p w14:paraId="0E8BBA5D" w14:textId="77777777" w:rsidR="00941434" w:rsidRDefault="00941434" w:rsidP="00941434">
      <w:pPr>
        <w:pStyle w:val="NoSpacing"/>
        <w:ind w:left="1080"/>
      </w:pPr>
    </w:p>
    <w:p w14:paraId="21792DFF" w14:textId="77777777" w:rsidR="0045082C" w:rsidRDefault="0045082C" w:rsidP="00941434">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m:t>
          </m:r>
          <m:r>
            <m:rPr>
              <m:sty m:val="bi"/>
            </m:rPr>
            <w:rPr>
              <w:rFonts w:ascii="Cambria Math" w:hAnsi="Cambria Math"/>
            </w:rPr>
            <m:t xml:space="preserve">Φ </m:t>
          </m:r>
          <m:r>
            <w:rPr>
              <w:rFonts w:ascii="Cambria Math" w:hAnsi="Cambria Math"/>
            </w:rPr>
            <m:t>(a+b×dose)</m:t>
          </m:r>
        </m:oMath>
      </m:oMathPara>
    </w:p>
    <w:p w14:paraId="40E6498E" w14:textId="77777777" w:rsidR="0045082C" w:rsidRDefault="0045082C" w:rsidP="0045082C">
      <w:pPr>
        <w:pStyle w:val="NoSpacing"/>
        <w:ind w:left="1080"/>
      </w:pPr>
    </w:p>
    <w:p w14:paraId="5DA0B615" w14:textId="77777777" w:rsidR="0045082C" w:rsidRDefault="0045082C" w:rsidP="0045082C">
      <w:pPr>
        <w:pStyle w:val="NoSpacing"/>
        <w:ind w:left="1080"/>
      </w:pPr>
      <w:r>
        <w:t>Current setting for model parameter priors are:</w:t>
      </w:r>
    </w:p>
    <w:p w14:paraId="79763A3D" w14:textId="77777777" w:rsidR="0045082C" w:rsidRDefault="0045082C" w:rsidP="0045082C">
      <w:pPr>
        <w:pStyle w:val="NoSpacing"/>
        <w:ind w:left="1080"/>
      </w:pPr>
    </w:p>
    <w:p w14:paraId="47A5249B" w14:textId="77777777" w:rsidR="0045082C" w:rsidRPr="002C27BE" w:rsidRDefault="0045082C" w:rsidP="0045082C">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-20,20</m:t>
              </m:r>
            </m:e>
          </m:d>
          <m:r>
            <w:rPr>
              <w:rFonts w:ascii="Cambria Math" w:hAnsi="Cambria Math"/>
            </w:rPr>
            <m:t>; b~Uniform(0,100)</m:t>
          </m:r>
        </m:oMath>
      </m:oMathPara>
    </w:p>
    <w:p w14:paraId="6C4EF854" w14:textId="77777777" w:rsidR="002C27BE" w:rsidRDefault="002C27BE" w:rsidP="0045082C">
      <w:pPr>
        <w:pStyle w:val="NoSpacing"/>
        <w:ind w:left="1080"/>
      </w:pPr>
    </w:p>
    <w:p w14:paraId="257A1E42" w14:textId="77777777" w:rsidR="00941434" w:rsidRDefault="00941434" w:rsidP="0045082C">
      <w:pPr>
        <w:pStyle w:val="NoSpacing"/>
      </w:pPr>
    </w:p>
    <w:p w14:paraId="58E79C8C" w14:textId="77777777" w:rsidR="00941434" w:rsidRDefault="0045082C" w:rsidP="009D60DE">
      <w:pPr>
        <w:pStyle w:val="NoSpacing"/>
        <w:numPr>
          <w:ilvl w:val="0"/>
          <w:numId w:val="4"/>
        </w:numPr>
      </w:pPr>
      <w:r>
        <w:t>Quantal-linear model</w:t>
      </w:r>
      <w:r w:rsidR="00A11E3E">
        <w:t xml:space="preserve"> (i.e., multistage-1</w:t>
      </w:r>
      <w:r w:rsidR="00A11E3E" w:rsidRPr="00A11E3E">
        <w:rPr>
          <w:vertAlign w:val="superscript"/>
        </w:rPr>
        <w:t>st</w:t>
      </w:r>
      <w:r w:rsidR="00A11E3E">
        <w:t xml:space="preserve"> model)</w:t>
      </w:r>
    </w:p>
    <w:p w14:paraId="486D8724" w14:textId="77777777" w:rsidR="0045082C" w:rsidRDefault="0045082C" w:rsidP="0045082C">
      <w:pPr>
        <w:pStyle w:val="NoSpacing"/>
        <w:ind w:left="1080"/>
      </w:pPr>
    </w:p>
    <w:p w14:paraId="2CE65994" w14:textId="77777777" w:rsidR="00E47C57" w:rsidRPr="002023DA" w:rsidRDefault="00E47C57" w:rsidP="00E47C57">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=a+(1-a)×(1-</m:t>
          </m:r>
          <m:sSup>
            <m:sSupPr>
              <m:ctrlPr>
                <w:rPr>
                  <w:rFonts w:ascii="Cambria Math" w:hAnsi="Cambria Math"/>
                  <w:i/>
                </w:rPr>
              </m:ctrlPr>
            </m:sSupPr>
            <m:e>
              <m:r>
                <w:rPr>
                  <w:rFonts w:ascii="Cambria Math" w:hAnsi="Cambria Math"/>
                </w:rPr>
                <m:t>e</m:t>
              </m:r>
            </m:e>
            <m:sup>
              <m:r>
                <w:rPr>
                  <w:rFonts w:ascii="Cambria Math" w:hAnsi="Cambria Math"/>
                </w:rPr>
                <m:t>-b×dose</m:t>
              </m:r>
            </m:sup>
          </m:sSup>
          <m:r>
            <w:rPr>
              <w:rFonts w:ascii="Cambria Math" w:hAnsi="Cambria Math"/>
            </w:rPr>
            <m:t>)</m:t>
          </m:r>
        </m:oMath>
      </m:oMathPara>
    </w:p>
    <w:p w14:paraId="1C075304" w14:textId="77777777" w:rsidR="0045082C" w:rsidRDefault="0045082C" w:rsidP="0045082C">
      <w:pPr>
        <w:pStyle w:val="NoSpacing"/>
        <w:ind w:left="1080"/>
      </w:pPr>
    </w:p>
    <w:p w14:paraId="60088888" w14:textId="77777777" w:rsidR="00E47C57" w:rsidRDefault="00E47C57" w:rsidP="00E47C57">
      <w:pPr>
        <w:pStyle w:val="NoSpacing"/>
        <w:ind w:left="1080"/>
      </w:pPr>
      <w:r>
        <w:t>Current setting for model parameter priors are:</w:t>
      </w:r>
    </w:p>
    <w:p w14:paraId="426ABF91" w14:textId="77777777" w:rsidR="00E47C57" w:rsidRDefault="00E47C57" w:rsidP="00E47C57">
      <w:pPr>
        <w:pStyle w:val="NoSpacing"/>
        <w:ind w:left="1080"/>
      </w:pPr>
    </w:p>
    <w:p w14:paraId="144408AD" w14:textId="77777777" w:rsidR="00E47C57" w:rsidRPr="002C27BE" w:rsidRDefault="00E47C57" w:rsidP="00E47C57">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b~Uniform(0,100)</m:t>
          </m:r>
        </m:oMath>
      </m:oMathPara>
    </w:p>
    <w:p w14:paraId="17928D9A" w14:textId="77777777" w:rsidR="002C27BE" w:rsidRDefault="002C27BE" w:rsidP="00E47C57">
      <w:pPr>
        <w:pStyle w:val="NoSpacing"/>
        <w:ind w:left="1080"/>
      </w:pPr>
    </w:p>
    <w:p w14:paraId="110D9703" w14:textId="77777777" w:rsidR="0045082C" w:rsidRDefault="0045082C" w:rsidP="0045082C">
      <w:pPr>
        <w:pStyle w:val="NoSpacing"/>
        <w:ind w:left="1080"/>
      </w:pPr>
    </w:p>
    <w:p w14:paraId="5167107A" w14:textId="77777777" w:rsidR="0045082C" w:rsidRDefault="0045082C" w:rsidP="009D60DE">
      <w:pPr>
        <w:pStyle w:val="NoSpacing"/>
        <w:numPr>
          <w:ilvl w:val="0"/>
          <w:numId w:val="4"/>
        </w:numPr>
      </w:pPr>
      <w:r>
        <w:t>Multistage-2</w:t>
      </w:r>
      <w:r w:rsidRPr="0045082C">
        <w:rPr>
          <w:vertAlign w:val="superscript"/>
        </w:rPr>
        <w:t>nd</w:t>
      </w:r>
      <w:r>
        <w:t xml:space="preserve"> model</w:t>
      </w:r>
    </w:p>
    <w:p w14:paraId="79EFEF9C" w14:textId="77777777" w:rsidR="0045082C" w:rsidRDefault="0045082C" w:rsidP="0045082C">
      <w:pPr>
        <w:pStyle w:val="NoSpacing"/>
        <w:ind w:left="1080"/>
      </w:pPr>
    </w:p>
    <w:p w14:paraId="04C824F8" w14:textId="77777777" w:rsidR="00E77AE1" w:rsidRPr="002023DA" w:rsidRDefault="00E77AE1" w:rsidP="00E77AE1">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=a+(1-a)×(1-</m:t>
          </m:r>
          <m:sSup>
            <m:sSupPr>
              <m:ctrlPr>
                <w:rPr>
                  <w:rFonts w:ascii="Cambria Math" w:hAnsi="Cambria Math"/>
                  <w:i/>
                </w:rPr>
              </m:ctrlPr>
            </m:sSupPr>
            <m:e>
              <m:r>
                <w:rPr>
                  <w:rFonts w:ascii="Cambria Math" w:hAnsi="Cambria Math"/>
                </w:rPr>
                <m:t>e</m:t>
              </m:r>
            </m:e>
            <m:sup>
              <m:r>
                <w:rPr>
                  <w:rFonts w:ascii="Cambria Math" w:hAnsi="Cambria Math"/>
                </w:rPr>
                <m:t>-b×dose-c×</m:t>
              </m:r>
              <m:sSup>
                <m:sSupPr>
                  <m:ctrlPr>
                    <w:rPr>
                      <w:rFonts w:ascii="Cambria Math" w:hAnsi="Cambria Math"/>
                      <w:i/>
                    </w:rPr>
                  </m:ctrlPr>
                </m:sSupPr>
                <m:e>
                  <m:r>
                    <w:rPr>
                      <w:rFonts w:ascii="Cambria Math" w:hAnsi="Cambria Math"/>
                    </w:rPr>
                    <m:t>dose</m:t>
                  </m:r>
                </m:e>
                <m:sup>
                  <m:r>
                    <w:rPr>
                      <w:rFonts w:ascii="Cambria Math" w:hAnsi="Cambria Math"/>
                    </w:rPr>
                    <m:t>2</m:t>
                  </m:r>
                </m:sup>
              </m:sSup>
            </m:sup>
          </m:sSup>
          <m:r>
            <w:rPr>
              <w:rFonts w:ascii="Cambria Math" w:hAnsi="Cambria Math"/>
            </w:rPr>
            <m:t>)</m:t>
          </m:r>
        </m:oMath>
      </m:oMathPara>
    </w:p>
    <w:p w14:paraId="0D3EE3C9" w14:textId="77777777" w:rsidR="00E77AE1" w:rsidRDefault="00E77AE1" w:rsidP="0045082C">
      <w:pPr>
        <w:pStyle w:val="NoSpacing"/>
        <w:ind w:left="1080"/>
      </w:pPr>
    </w:p>
    <w:p w14:paraId="40B55782" w14:textId="77777777" w:rsidR="00A11E3E" w:rsidRDefault="00A11E3E" w:rsidP="00A11E3E">
      <w:pPr>
        <w:pStyle w:val="NoSpacing"/>
        <w:ind w:left="1080"/>
      </w:pPr>
      <w:r>
        <w:t>Current setting for model parameter priors are:</w:t>
      </w:r>
    </w:p>
    <w:p w14:paraId="07EAE6A1" w14:textId="77777777" w:rsidR="00A11E3E" w:rsidRDefault="00A11E3E" w:rsidP="00A11E3E">
      <w:pPr>
        <w:pStyle w:val="NoSpacing"/>
        <w:ind w:left="1080"/>
      </w:pPr>
    </w:p>
    <w:p w14:paraId="599E5E24" w14:textId="77777777" w:rsidR="00A11E3E" w:rsidRPr="002C27BE" w:rsidRDefault="00A11E3E" w:rsidP="00A11E3E">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m:t>
          </m:r>
          <m:d>
            <m:dPr>
              <m:ctrlPr>
                <w:rPr>
                  <w:rFonts w:ascii="Cambria Math" w:hAnsi="Cambria Math"/>
                  <w:i/>
                </w:rPr>
              </m:ctrlPr>
            </m:dPr>
            <m:e>
              <m:r>
                <w:rPr>
                  <w:rFonts w:ascii="Cambria Math" w:hAnsi="Cambria Math"/>
                </w:rPr>
                <m:t>0,100</m:t>
              </m:r>
            </m:e>
          </m:d>
          <m:r>
            <w:rPr>
              <w:rFonts w:ascii="Cambria Math" w:hAnsi="Cambria Math"/>
            </w:rPr>
            <m:t>;  c~Uniform(0,100)</m:t>
          </m:r>
        </m:oMath>
      </m:oMathPara>
    </w:p>
    <w:p w14:paraId="7BA582A9" w14:textId="77777777" w:rsidR="002C27BE" w:rsidRDefault="002C27BE" w:rsidP="00A11E3E">
      <w:pPr>
        <w:pStyle w:val="NoSpacing"/>
        <w:ind w:left="1080"/>
      </w:pPr>
    </w:p>
    <w:p w14:paraId="2B8E7900" w14:textId="77777777" w:rsidR="0045082C" w:rsidRDefault="0045082C" w:rsidP="0045082C">
      <w:pPr>
        <w:pStyle w:val="NoSpacing"/>
        <w:ind w:left="1080"/>
      </w:pPr>
    </w:p>
    <w:p w14:paraId="13C4BA63" w14:textId="77777777" w:rsidR="0045082C" w:rsidRDefault="00722B9C" w:rsidP="009D60DE">
      <w:pPr>
        <w:pStyle w:val="NoSpacing"/>
        <w:numPr>
          <w:ilvl w:val="0"/>
          <w:numId w:val="4"/>
        </w:numPr>
      </w:pPr>
      <w:r>
        <w:t>Weibull model</w:t>
      </w:r>
    </w:p>
    <w:p w14:paraId="7D2F2314" w14:textId="77777777" w:rsidR="00722B9C" w:rsidRDefault="00722B9C" w:rsidP="00722B9C">
      <w:pPr>
        <w:pStyle w:val="NoSpacing"/>
        <w:ind w:left="1080"/>
      </w:pPr>
    </w:p>
    <w:p w14:paraId="1461C289" w14:textId="77777777" w:rsidR="001D52B8" w:rsidRPr="002023DA" w:rsidRDefault="001D52B8" w:rsidP="001D52B8">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=a+(1-a)×(1-</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dose</m:t>
                  </m:r>
                </m:e>
                <m:sup>
                  <m:r>
                    <w:rPr>
                      <w:rFonts w:ascii="Cambria Math" w:hAnsi="Cambria Math"/>
                    </w:rPr>
                    <m:t>b</m:t>
                  </m:r>
                </m:sup>
              </m:sSup>
            </m:sup>
          </m:sSup>
          <m:r>
            <w:rPr>
              <w:rFonts w:ascii="Cambria Math" w:hAnsi="Cambria Math"/>
            </w:rPr>
            <m:t>)</m:t>
          </m:r>
        </m:oMath>
      </m:oMathPara>
    </w:p>
    <w:p w14:paraId="0570B673" w14:textId="77777777" w:rsidR="00722B9C" w:rsidRDefault="00722B9C" w:rsidP="00722B9C">
      <w:pPr>
        <w:pStyle w:val="NoSpacing"/>
        <w:ind w:left="1080"/>
      </w:pPr>
    </w:p>
    <w:p w14:paraId="5014017D" w14:textId="77777777" w:rsidR="001D52B8" w:rsidRDefault="001D52B8" w:rsidP="001D52B8">
      <w:pPr>
        <w:pStyle w:val="NoSpacing"/>
        <w:ind w:left="1080"/>
      </w:pPr>
      <w:r>
        <w:t>Current setting for model parameter priors are:</w:t>
      </w:r>
    </w:p>
    <w:p w14:paraId="2A89FC97" w14:textId="77777777" w:rsidR="001D52B8" w:rsidRDefault="001D52B8" w:rsidP="001D52B8">
      <w:pPr>
        <w:pStyle w:val="NoSpacing"/>
        <w:ind w:left="1080"/>
      </w:pPr>
    </w:p>
    <w:p w14:paraId="0AAC0114" w14:textId="77777777" w:rsidR="001D52B8" w:rsidRDefault="001D52B8" w:rsidP="001D52B8">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m:t>
          </m:r>
          <m:d>
            <m:dPr>
              <m:ctrlPr>
                <w:rPr>
                  <w:rFonts w:ascii="Cambria Math" w:hAnsi="Cambria Math"/>
                  <w:i/>
                </w:rPr>
              </m:ctrlPr>
            </m:dPr>
            <m:e>
              <m:r>
                <w:rPr>
                  <w:rFonts w:ascii="Cambria Math" w:hAnsi="Cambria Math"/>
                </w:rPr>
                <m:t>0,10</m:t>
              </m:r>
            </m:e>
          </m:d>
          <m:r>
            <w:rPr>
              <w:rFonts w:ascii="Cambria Math" w:hAnsi="Cambria Math"/>
            </w:rPr>
            <m:t>;  c~Uniform(0,100)</m:t>
          </m:r>
        </m:oMath>
      </m:oMathPara>
    </w:p>
    <w:p w14:paraId="03B2160A" w14:textId="77777777" w:rsidR="00722B9C" w:rsidRDefault="00722B9C" w:rsidP="00722B9C">
      <w:pPr>
        <w:pStyle w:val="NoSpacing"/>
        <w:ind w:left="1080"/>
      </w:pPr>
    </w:p>
    <w:p w14:paraId="620432D5" w14:textId="77777777" w:rsidR="00E667D6" w:rsidRDefault="00E667D6" w:rsidP="00722B9C">
      <w:pPr>
        <w:pStyle w:val="NoSpacing"/>
        <w:ind w:left="1080"/>
      </w:pPr>
      <w:r>
        <w:t>Additionally, b is limited to be larger than 1.</w:t>
      </w:r>
    </w:p>
    <w:p w14:paraId="561EEDDE" w14:textId="77777777" w:rsidR="00722B9C" w:rsidRDefault="00722B9C" w:rsidP="00722B9C">
      <w:pPr>
        <w:pStyle w:val="NoSpacing"/>
        <w:ind w:left="1080"/>
      </w:pPr>
    </w:p>
    <w:p w14:paraId="7B984B57" w14:textId="77777777" w:rsidR="00722B9C" w:rsidRDefault="001D52B8" w:rsidP="009D60DE">
      <w:pPr>
        <w:pStyle w:val="NoSpacing"/>
        <w:numPr>
          <w:ilvl w:val="0"/>
          <w:numId w:val="4"/>
        </w:numPr>
      </w:pPr>
      <w:proofErr w:type="spellStart"/>
      <w:r>
        <w:t>LogLogistic</w:t>
      </w:r>
      <w:proofErr w:type="spellEnd"/>
      <w:r>
        <w:t xml:space="preserve"> model</w:t>
      </w:r>
    </w:p>
    <w:p w14:paraId="1C8F45D0" w14:textId="77777777" w:rsidR="001D52B8" w:rsidRDefault="001D52B8" w:rsidP="001D52B8">
      <w:pPr>
        <w:pStyle w:val="NoSpacing"/>
        <w:ind w:left="1080"/>
      </w:pPr>
    </w:p>
    <w:p w14:paraId="3F76041F" w14:textId="77777777" w:rsidR="005D0D7F" w:rsidRPr="002023DA" w:rsidRDefault="005D0D7F" w:rsidP="005D0D7F">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m:t>
          </m:r>
          <m:f>
            <m:fPr>
              <m:ctrlPr>
                <w:rPr>
                  <w:rFonts w:ascii="Cambria Math" w:hAnsi="Cambria Math"/>
                  <w:i/>
                </w:rPr>
              </m:ctrlPr>
            </m:fPr>
            <m:num>
              <m:r>
                <w:rPr>
                  <w:rFonts w:ascii="Cambria Math" w:hAnsi="Cambria Math"/>
                </w:rPr>
                <m:t>1-a</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-c-b×</m:t>
                  </m:r>
                  <m:func>
                    <m:funcPr>
                      <m:ctrlPr>
                        <w:rPr>
                          <w:rFonts w:ascii="Cambria Math" w:hAnsi="Cambria Math"/>
                          <w:i/>
                        </w:rPr>
                      </m:ctrlPr>
                    </m:funcPr>
                    <m:fName>
                      <m:r>
                        <m:rPr>
                          <m:sty m:val="p"/>
                        </m:rPr>
                        <w:rPr>
                          <w:rFonts w:ascii="Cambria Math" w:hAnsi="Cambria Math"/>
                        </w:rPr>
                        <m:t>log</m:t>
                      </m:r>
                    </m:fName>
                    <m:e>
                      <m:r>
                        <w:rPr>
                          <w:rFonts w:ascii="Cambria Math" w:hAnsi="Cambria Math"/>
                        </w:rPr>
                        <m:t>(dose)</m:t>
                      </m:r>
                    </m:e>
                  </m:func>
                </m:sup>
              </m:sSup>
            </m:den>
          </m:f>
        </m:oMath>
      </m:oMathPara>
    </w:p>
    <w:p w14:paraId="2D88DEA6" w14:textId="77777777" w:rsidR="005D0D7F" w:rsidRDefault="005D0D7F" w:rsidP="005D0D7F">
      <w:pPr>
        <w:pStyle w:val="NoSpacing"/>
        <w:ind w:left="1080"/>
      </w:pPr>
    </w:p>
    <w:p w14:paraId="76D2416C" w14:textId="77777777" w:rsidR="005D0D7F" w:rsidRDefault="005D0D7F" w:rsidP="005D0D7F">
      <w:pPr>
        <w:pStyle w:val="NoSpacing"/>
        <w:ind w:left="1080"/>
      </w:pPr>
      <w:r>
        <w:t>Current setting for model parameter priors are:</w:t>
      </w:r>
    </w:p>
    <w:p w14:paraId="7B24B222" w14:textId="77777777" w:rsidR="005D0D7F" w:rsidRDefault="005D0D7F" w:rsidP="005D0D7F">
      <w:pPr>
        <w:pStyle w:val="NoSpacing"/>
        <w:ind w:left="1080"/>
      </w:pPr>
    </w:p>
    <w:p w14:paraId="49D2C3C1" w14:textId="77777777" w:rsidR="005D0D7F" w:rsidRDefault="005D0D7F" w:rsidP="005D0D7F">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m:t>
          </m:r>
          <m:d>
            <m:dPr>
              <m:ctrlPr>
                <w:rPr>
                  <w:rFonts w:ascii="Cambria Math" w:hAnsi="Cambria Math"/>
                  <w:i/>
                </w:rPr>
              </m:ctrlPr>
            </m:dPr>
            <m:e>
              <m:r>
                <w:rPr>
                  <w:rFonts w:ascii="Cambria Math" w:hAnsi="Cambria Math"/>
                </w:rPr>
                <m:t>0,10</m:t>
              </m:r>
            </m:e>
          </m:d>
          <m:r>
            <w:rPr>
              <w:rFonts w:ascii="Cambria Math" w:hAnsi="Cambria Math"/>
            </w:rPr>
            <m:t>;  c~Uniform(-50,50)</m:t>
          </m:r>
        </m:oMath>
      </m:oMathPara>
    </w:p>
    <w:p w14:paraId="35AC9144" w14:textId="77777777" w:rsidR="001D52B8" w:rsidRDefault="001D52B8" w:rsidP="000B096F">
      <w:pPr>
        <w:pStyle w:val="NoSpacing"/>
      </w:pPr>
    </w:p>
    <w:p w14:paraId="384DA27D" w14:textId="77777777" w:rsidR="00E667D6" w:rsidRDefault="00E667D6" w:rsidP="00E667D6">
      <w:pPr>
        <w:pStyle w:val="NoSpacing"/>
        <w:ind w:left="1080"/>
      </w:pPr>
      <w:r>
        <w:t>Additionally, b is limited to be larger than 1.</w:t>
      </w:r>
    </w:p>
    <w:p w14:paraId="155F6583" w14:textId="77777777" w:rsidR="001D52B8" w:rsidRDefault="001D52B8" w:rsidP="001D52B8">
      <w:pPr>
        <w:pStyle w:val="NoSpacing"/>
        <w:ind w:left="1080"/>
      </w:pPr>
    </w:p>
    <w:p w14:paraId="07C60CBD" w14:textId="77777777" w:rsidR="00E667D6" w:rsidRDefault="00E667D6" w:rsidP="001D52B8">
      <w:pPr>
        <w:pStyle w:val="NoSpacing"/>
        <w:ind w:left="1080"/>
      </w:pPr>
    </w:p>
    <w:p w14:paraId="53E36056" w14:textId="77777777" w:rsidR="0045082C" w:rsidRDefault="000B096F" w:rsidP="009D60DE">
      <w:pPr>
        <w:pStyle w:val="NoSpacing"/>
        <w:numPr>
          <w:ilvl w:val="0"/>
          <w:numId w:val="4"/>
        </w:numPr>
      </w:pPr>
      <w:proofErr w:type="spellStart"/>
      <w:r>
        <w:t>LogProbit</w:t>
      </w:r>
      <w:proofErr w:type="spellEnd"/>
      <w:r>
        <w:t xml:space="preserve"> model</w:t>
      </w:r>
    </w:p>
    <w:p w14:paraId="54F3AD7D" w14:textId="77777777" w:rsidR="0045082C" w:rsidRDefault="0045082C" w:rsidP="0045082C">
      <w:pPr>
        <w:pStyle w:val="NoSpacing"/>
      </w:pPr>
    </w:p>
    <w:p w14:paraId="235383FB" w14:textId="77777777" w:rsidR="000B096F" w:rsidRDefault="000B096F" w:rsidP="000B096F">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=a+(1-a)×</m:t>
          </m:r>
          <m:r>
            <m:rPr>
              <m:sty m:val="bi"/>
            </m:rPr>
            <w:rPr>
              <w:rFonts w:ascii="Cambria Math" w:hAnsi="Cambria Math"/>
            </w:rPr>
            <m:t xml:space="preserve">Φ </m:t>
          </m:r>
          <m:r>
            <w:rPr>
              <w:rFonts w:ascii="Cambria Math" w:hAnsi="Cambria Math"/>
            </w:rPr>
            <m:t>(c+b×</m:t>
          </m:r>
          <m:func>
            <m:funcPr>
              <m:ctrlPr>
                <w:rPr>
                  <w:rFonts w:ascii="Cambria Math" w:hAnsi="Cambria Math"/>
                  <w:bCs/>
                  <w:i/>
                </w:rPr>
              </m:ctrlPr>
            </m:funcPr>
            <m:fName>
              <m:r>
                <m:rPr>
                  <m:sty m:val="p"/>
                </m:rPr>
                <w:rPr>
                  <w:rFonts w:ascii="Cambria Math" w:hAnsi="Cambria Math"/>
                </w:rPr>
                <m:t>log</m:t>
              </m:r>
            </m:fName>
            <m:e>
              <m:r>
                <w:rPr>
                  <w:rFonts w:ascii="Cambria Math" w:hAnsi="Cambria Math"/>
                </w:rPr>
                <m:t>(dose)</m:t>
              </m:r>
            </m:e>
          </m:func>
          <m:r>
            <w:rPr>
              <w:rFonts w:ascii="Cambria Math" w:hAnsi="Cambria Math"/>
            </w:rPr>
            <m:t>)</m:t>
          </m:r>
        </m:oMath>
      </m:oMathPara>
    </w:p>
    <w:p w14:paraId="55FAF96B" w14:textId="77777777" w:rsidR="005C51A9" w:rsidRDefault="005C51A9" w:rsidP="00A01C26">
      <w:pPr>
        <w:pStyle w:val="NoSpacing"/>
        <w:ind w:left="720"/>
      </w:pPr>
    </w:p>
    <w:p w14:paraId="183F516B" w14:textId="77777777" w:rsidR="000B096F" w:rsidRDefault="000B096F" w:rsidP="000B096F">
      <w:pPr>
        <w:pStyle w:val="NoSpacing"/>
        <w:ind w:left="1080"/>
      </w:pPr>
      <w:r>
        <w:lastRenderedPageBreak/>
        <w:t>Current setting for model parameter priors are:</w:t>
      </w:r>
    </w:p>
    <w:p w14:paraId="50233DA7" w14:textId="77777777" w:rsidR="000B096F" w:rsidRDefault="000B096F" w:rsidP="000B096F">
      <w:pPr>
        <w:pStyle w:val="NoSpacing"/>
        <w:ind w:left="1080"/>
      </w:pPr>
    </w:p>
    <w:p w14:paraId="730109F4" w14:textId="77777777" w:rsidR="000B096F" w:rsidRDefault="000B096F" w:rsidP="000B096F">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m:t>
          </m:r>
          <m:d>
            <m:dPr>
              <m:ctrlPr>
                <w:rPr>
                  <w:rFonts w:ascii="Cambria Math" w:hAnsi="Cambria Math"/>
                  <w:i/>
                </w:rPr>
              </m:ctrlPr>
            </m:dPr>
            <m:e>
              <m:r>
                <w:rPr>
                  <w:rFonts w:ascii="Cambria Math" w:hAnsi="Cambria Math"/>
                </w:rPr>
                <m:t>0,10</m:t>
              </m:r>
            </m:e>
          </m:d>
          <m:r>
            <w:rPr>
              <w:rFonts w:ascii="Cambria Math" w:hAnsi="Cambria Math"/>
            </w:rPr>
            <m:t>;  c~Uniform(-50,50)</m:t>
          </m:r>
        </m:oMath>
      </m:oMathPara>
    </w:p>
    <w:p w14:paraId="09E7D120" w14:textId="77777777" w:rsidR="00E667D6" w:rsidRDefault="00E667D6" w:rsidP="00E667D6">
      <w:pPr>
        <w:pStyle w:val="NoSpacing"/>
        <w:ind w:left="1080"/>
      </w:pPr>
    </w:p>
    <w:p w14:paraId="1D4E794A" w14:textId="77777777" w:rsidR="00E667D6" w:rsidRDefault="00E667D6" w:rsidP="00E667D6">
      <w:pPr>
        <w:pStyle w:val="NoSpacing"/>
        <w:ind w:left="1080"/>
      </w:pPr>
      <w:r>
        <w:t>Additionally, b is limited to be larger than 1.</w:t>
      </w:r>
    </w:p>
    <w:p w14:paraId="43250B10" w14:textId="77777777" w:rsidR="002C27BE" w:rsidRDefault="002C27BE" w:rsidP="00E667D6">
      <w:pPr>
        <w:pStyle w:val="NoSpacing"/>
        <w:ind w:left="1080"/>
      </w:pPr>
    </w:p>
    <w:p w14:paraId="668FDC5B" w14:textId="77777777" w:rsidR="005C51A9" w:rsidRDefault="005C51A9" w:rsidP="00A01C26">
      <w:pPr>
        <w:pStyle w:val="NoSpacing"/>
        <w:ind w:left="720"/>
      </w:pPr>
    </w:p>
    <w:p w14:paraId="38056C0C" w14:textId="7F264EAF" w:rsidR="00DF1CEC" w:rsidRDefault="00405508" w:rsidP="00405508">
      <w:pPr>
        <w:pStyle w:val="NoSpacing"/>
        <w:numPr>
          <w:ilvl w:val="0"/>
          <w:numId w:val="4"/>
        </w:numPr>
      </w:pPr>
      <w:r>
        <w:t>Gamma mode</w:t>
      </w:r>
      <w:r w:rsidR="002C27BE">
        <w:t>l</w:t>
      </w:r>
    </w:p>
    <w:p w14:paraId="6EC11234" w14:textId="77777777" w:rsidR="00FE54DA" w:rsidRDefault="00FE54DA" w:rsidP="00FE54DA">
      <w:pPr>
        <w:pStyle w:val="NoSpacing"/>
        <w:ind w:left="1080"/>
      </w:pPr>
    </w:p>
    <w:p w14:paraId="13484FB5" w14:textId="26D2E0AD" w:rsidR="0020540A" w:rsidRPr="00FE54DA" w:rsidRDefault="00CE4701" w:rsidP="0020540A">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m:t>
          </m:r>
          <m:d>
            <m:dPr>
              <m:ctrlPr>
                <w:rPr>
                  <w:rFonts w:ascii="Cambria Math" w:hAnsi="Cambria Math"/>
                  <w:i/>
                </w:rPr>
              </m:ctrlPr>
            </m:dPr>
            <m:e>
              <m:r>
                <w:rPr>
                  <w:rFonts w:ascii="Cambria Math" w:hAnsi="Cambria Math"/>
                </w:rPr>
                <m:t>1-a</m:t>
              </m:r>
            </m:e>
          </m:d>
          <m:r>
            <w:rPr>
              <w:rFonts w:ascii="Cambria Math" w:hAnsi="Cambria Math"/>
            </w:rPr>
            <m:t xml:space="preserve"> × </m:t>
          </m:r>
          <m:r>
            <m:rPr>
              <m:sty m:val="bi"/>
            </m:rPr>
            <w:rPr>
              <w:rFonts w:ascii="Cambria Math" w:hAnsi="Cambria Math"/>
            </w:rPr>
            <m:t>CumGamma(</m:t>
          </m:r>
          <m:r>
            <w:rPr>
              <w:rFonts w:ascii="Cambria Math" w:hAnsi="Cambria Math"/>
            </w:rPr>
            <m:t>c×dose, b)</m:t>
          </m:r>
        </m:oMath>
      </m:oMathPara>
    </w:p>
    <w:p w14:paraId="7FE44056" w14:textId="77777777" w:rsidR="00FE54DA" w:rsidRDefault="00FE54DA" w:rsidP="0020540A">
      <w:pPr>
        <w:pStyle w:val="NoSpacing"/>
        <w:ind w:left="1080"/>
      </w:pPr>
    </w:p>
    <w:p w14:paraId="01156C2A" w14:textId="77777777" w:rsidR="005D0437" w:rsidRDefault="005D0437" w:rsidP="005D0437">
      <w:pPr>
        <w:pStyle w:val="NoSpacing"/>
        <w:ind w:left="1080"/>
      </w:pPr>
      <w:r>
        <w:t>Current setting for model parameter priors are:</w:t>
      </w:r>
    </w:p>
    <w:p w14:paraId="2DE32D2C" w14:textId="77777777" w:rsidR="005D0437" w:rsidRDefault="005D0437" w:rsidP="005D0437">
      <w:pPr>
        <w:pStyle w:val="NoSpacing"/>
        <w:ind w:left="1080"/>
      </w:pPr>
    </w:p>
    <w:p w14:paraId="7F48C760" w14:textId="150EA033" w:rsidR="005D0437" w:rsidRDefault="005D0437" w:rsidP="005D0437">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m:t>
          </m:r>
          <m:d>
            <m:dPr>
              <m:ctrlPr>
                <w:rPr>
                  <w:rFonts w:ascii="Cambria Math" w:hAnsi="Cambria Math"/>
                  <w:i/>
                </w:rPr>
              </m:ctrlPr>
            </m:dPr>
            <m:e>
              <m:r>
                <w:rPr>
                  <w:rFonts w:ascii="Cambria Math" w:hAnsi="Cambria Math"/>
                </w:rPr>
                <m:t>0, 10</m:t>
              </m:r>
            </m:e>
          </m:d>
          <m:r>
            <w:rPr>
              <w:rFonts w:ascii="Cambria Math" w:hAnsi="Cambria Math"/>
            </w:rPr>
            <m:t>;  c~Uniform(0, 100)</m:t>
          </m:r>
        </m:oMath>
      </m:oMathPara>
    </w:p>
    <w:p w14:paraId="2615A3C7" w14:textId="77777777" w:rsidR="005D0437" w:rsidRDefault="005D0437" w:rsidP="005D0437">
      <w:pPr>
        <w:pStyle w:val="NoSpacing"/>
      </w:pPr>
    </w:p>
    <w:p w14:paraId="2738C8C2" w14:textId="77777777" w:rsidR="005D0437" w:rsidRDefault="005D0437" w:rsidP="005D0437">
      <w:pPr>
        <w:pStyle w:val="NoSpacing"/>
        <w:ind w:left="1080"/>
      </w:pPr>
      <w:r>
        <w:t>Additionally, b is limited to be larger than 1.</w:t>
      </w:r>
    </w:p>
    <w:p w14:paraId="5DA94E13" w14:textId="77777777" w:rsidR="002C27BE" w:rsidRDefault="002C27BE" w:rsidP="005D0437">
      <w:pPr>
        <w:pStyle w:val="NoSpacing"/>
        <w:ind w:left="1080"/>
      </w:pPr>
    </w:p>
    <w:p w14:paraId="61B45008" w14:textId="1BBB5988" w:rsidR="00405508" w:rsidRDefault="00405508" w:rsidP="00405508">
      <w:pPr>
        <w:pStyle w:val="NoSpacing"/>
      </w:pPr>
      <w:r>
        <w:t xml:space="preserve">                        </w:t>
      </w:r>
    </w:p>
    <w:p w14:paraId="1E592E70" w14:textId="68A23187" w:rsidR="00405508" w:rsidRDefault="00405508" w:rsidP="00405508">
      <w:pPr>
        <w:pStyle w:val="NoSpacing"/>
        <w:numPr>
          <w:ilvl w:val="0"/>
          <w:numId w:val="4"/>
        </w:numPr>
      </w:pPr>
      <w:r>
        <w:t>Dichotomous Hill model</w:t>
      </w:r>
    </w:p>
    <w:p w14:paraId="23A637C5" w14:textId="77777777" w:rsidR="009B19FF" w:rsidRDefault="009B19FF" w:rsidP="009B19FF">
      <w:pPr>
        <w:pStyle w:val="NoSpacing"/>
        <w:jc w:val="center"/>
      </w:pPr>
    </w:p>
    <w:p w14:paraId="054357E0" w14:textId="146DEBD5" w:rsidR="00405508" w:rsidRDefault="009B19FF" w:rsidP="009B19FF">
      <w:pPr>
        <w:pStyle w:val="NoSpacing"/>
        <w:jc w:val="center"/>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=a×g+</m:t>
          </m:r>
          <m:f>
            <m:fPr>
              <m:ctrlPr>
                <w:rPr>
                  <w:rFonts w:ascii="Cambria Math" w:hAnsi="Cambria Math"/>
                  <w:i/>
                </w:rPr>
              </m:ctrlPr>
            </m:fPr>
            <m:num>
              <m:r>
                <w:rPr>
                  <w:rFonts w:ascii="Cambria Math" w:hAnsi="Cambria Math"/>
                </w:rPr>
                <m:t>a-a×g</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-c-b×</m:t>
                  </m:r>
                  <m:func>
                    <m:funcPr>
                      <m:ctrlPr>
                        <w:rPr>
                          <w:rFonts w:ascii="Cambria Math" w:hAnsi="Cambria Math"/>
                          <w:i/>
                        </w:rPr>
                      </m:ctrlPr>
                    </m:funcPr>
                    <m:fName>
                      <m:r>
                        <m:rPr>
                          <m:sty m:val="p"/>
                        </m:rPr>
                        <w:rPr>
                          <w:rFonts w:ascii="Cambria Math" w:hAnsi="Cambria Math"/>
                        </w:rPr>
                        <m:t>log</m:t>
                      </m:r>
                    </m:fName>
                    <m:e>
                      <m:r>
                        <w:rPr>
                          <w:rFonts w:ascii="Cambria Math" w:hAnsi="Cambria Math"/>
                        </w:rPr>
                        <m:t>(dose)</m:t>
                      </m:r>
                    </m:e>
                  </m:func>
                </m:sup>
              </m:sSup>
            </m:den>
          </m:f>
        </m:oMath>
      </m:oMathPara>
    </w:p>
    <w:p w14:paraId="168B59EF" w14:textId="77777777" w:rsidR="009B19FF" w:rsidRDefault="009B19FF" w:rsidP="009B19FF">
      <w:pPr>
        <w:pStyle w:val="NoSpacing"/>
        <w:ind w:left="1080"/>
      </w:pPr>
    </w:p>
    <w:p w14:paraId="4865AA54" w14:textId="77777777" w:rsidR="009B19FF" w:rsidRDefault="009B19FF" w:rsidP="009B19FF">
      <w:pPr>
        <w:pStyle w:val="NoSpacing"/>
        <w:ind w:left="1080"/>
      </w:pPr>
      <w:r>
        <w:t>Current setting for model parameter priors are:</w:t>
      </w:r>
    </w:p>
    <w:p w14:paraId="7F442EC1" w14:textId="77777777" w:rsidR="009B19FF" w:rsidRDefault="009B19FF" w:rsidP="009B19FF">
      <w:pPr>
        <w:pStyle w:val="NoSpacing"/>
        <w:ind w:left="1080"/>
      </w:pPr>
    </w:p>
    <w:p w14:paraId="75C2A4EF" w14:textId="1B0CE5CB" w:rsidR="009B19FF" w:rsidRDefault="009B19FF" w:rsidP="009B19FF">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0, 1</m:t>
              </m:r>
            </m:e>
          </m:d>
          <m:r>
            <w:rPr>
              <w:rFonts w:ascii="Cambria Math" w:hAnsi="Cambria Math"/>
            </w:rPr>
            <m:t>; g~Uniform(0, 1); b~Uniform</m:t>
          </m:r>
          <m:d>
            <m:dPr>
              <m:ctrlPr>
                <w:rPr>
                  <w:rFonts w:ascii="Cambria Math" w:hAnsi="Cambria Math"/>
                  <w:i/>
                </w:rPr>
              </m:ctrlPr>
            </m:dPr>
            <m:e>
              <m:r>
                <w:rPr>
                  <w:rFonts w:ascii="Cambria Math" w:hAnsi="Cambria Math"/>
                </w:rPr>
                <m:t>0, 10</m:t>
              </m:r>
            </m:e>
          </m:d>
          <m:r>
            <w:rPr>
              <w:rFonts w:ascii="Cambria Math" w:hAnsi="Cambria Math"/>
            </w:rPr>
            <m:t>;  c~Uniform(-10, 10)</m:t>
          </m:r>
        </m:oMath>
      </m:oMathPara>
    </w:p>
    <w:p w14:paraId="473E6AB9" w14:textId="77777777" w:rsidR="009B19FF" w:rsidRDefault="009B19FF" w:rsidP="009B19FF">
      <w:pPr>
        <w:pStyle w:val="NoSpacing"/>
      </w:pPr>
    </w:p>
    <w:p w14:paraId="40910576" w14:textId="77777777" w:rsidR="009B19FF" w:rsidRDefault="009B19FF" w:rsidP="009B19FF">
      <w:pPr>
        <w:pStyle w:val="NoSpacing"/>
        <w:ind w:left="1080"/>
      </w:pPr>
      <w:r>
        <w:t>Additionally, b is limited to be larger than 1.</w:t>
      </w:r>
    </w:p>
    <w:p w14:paraId="41DE3927" w14:textId="77777777" w:rsidR="00405508" w:rsidRDefault="00405508" w:rsidP="00656122">
      <w:pPr>
        <w:pStyle w:val="NoSpacing"/>
      </w:pPr>
    </w:p>
    <w:p w14:paraId="736E6AB9" w14:textId="77777777" w:rsidR="009B19FF" w:rsidRDefault="009B19FF" w:rsidP="00656122">
      <w:pPr>
        <w:pStyle w:val="NoSpacing"/>
      </w:pPr>
    </w:p>
    <w:p w14:paraId="3152E8DA" w14:textId="77777777" w:rsidR="00405508" w:rsidRDefault="00405508" w:rsidP="00405508">
      <w:pPr>
        <w:pStyle w:val="NoSpacing"/>
      </w:pPr>
    </w:p>
    <w:p w14:paraId="5F67E25D" w14:textId="3EF59B17" w:rsidR="00287408" w:rsidRDefault="00287408" w:rsidP="00287408">
      <w:pPr>
        <w:pStyle w:val="NoSpacing"/>
        <w:ind w:left="720"/>
      </w:pPr>
      <w:r>
        <w:t>There are eight dose-response models for continuous data available.</w:t>
      </w:r>
    </w:p>
    <w:p w14:paraId="0D67F803" w14:textId="77777777" w:rsidR="00405508" w:rsidRDefault="00405508" w:rsidP="00287408">
      <w:pPr>
        <w:pStyle w:val="NoSpacing"/>
      </w:pPr>
    </w:p>
    <w:p w14:paraId="6F4B9486" w14:textId="20D41B08" w:rsidR="00287408" w:rsidRDefault="0020540A" w:rsidP="0020540A">
      <w:pPr>
        <w:pStyle w:val="NoSpacing"/>
        <w:numPr>
          <w:ilvl w:val="0"/>
          <w:numId w:val="9"/>
        </w:numPr>
        <w:ind w:left="1080"/>
      </w:pPr>
      <w:r>
        <w:t>Linear model</w:t>
      </w:r>
    </w:p>
    <w:p w14:paraId="11B2ED0F" w14:textId="1F11150F" w:rsidR="00CE4701" w:rsidRPr="00F719D0" w:rsidRDefault="00CE4701" w:rsidP="00CE4701">
      <w:pPr>
        <w:pStyle w:val="NoSpacing"/>
        <w:ind w:left="1080"/>
        <w:rPr>
          <w:bCs/>
        </w:rPr>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=a+b × dose</m:t>
          </m:r>
        </m:oMath>
      </m:oMathPara>
    </w:p>
    <w:p w14:paraId="4F12F1FA" w14:textId="77777777" w:rsidR="00F719D0" w:rsidRDefault="00F719D0" w:rsidP="00F719D0">
      <w:pPr>
        <w:pStyle w:val="NoSpacing"/>
        <w:ind w:left="1080"/>
      </w:pPr>
    </w:p>
    <w:p w14:paraId="34056C27" w14:textId="77777777" w:rsidR="00F719D0" w:rsidRDefault="00F719D0" w:rsidP="00F719D0">
      <w:pPr>
        <w:pStyle w:val="NoSpacing"/>
        <w:ind w:left="1080"/>
      </w:pPr>
      <w:r>
        <w:t>Current setting for model parameter priors are:</w:t>
      </w:r>
    </w:p>
    <w:p w14:paraId="450D8DCB" w14:textId="77777777" w:rsidR="00F719D0" w:rsidRDefault="00F719D0" w:rsidP="00CE4701">
      <w:pPr>
        <w:pStyle w:val="NoSpacing"/>
        <w:ind w:left="1080"/>
      </w:pPr>
    </w:p>
    <w:p w14:paraId="183D0C4D" w14:textId="7B0CE1F1" w:rsidR="00CE4701" w:rsidRPr="00D2064D" w:rsidRDefault="00CE4701" w:rsidP="00CE4701">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upper</m:t>
                  </m:r>
                </m:sub>
              </m:sSub>
            </m:e>
          </m:d>
          <m:r>
            <w:rPr>
              <w:rFonts w:ascii="Cambria Math" w:hAnsi="Cambria Math"/>
            </w:rPr>
            <m:t>; b~Uniform</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upper</m:t>
                  </m:r>
                </m:sub>
              </m:sSub>
            </m:e>
          </m:d>
        </m:oMath>
      </m:oMathPara>
    </w:p>
    <w:p w14:paraId="2E1D9701" w14:textId="77777777" w:rsidR="00D2064D" w:rsidRDefault="00D2064D" w:rsidP="00CE4701">
      <w:pPr>
        <w:pStyle w:val="NoSpacing"/>
        <w:ind w:left="1080"/>
      </w:pPr>
    </w:p>
    <w:p w14:paraId="403C70BE" w14:textId="77777777" w:rsidR="00CE4701" w:rsidRDefault="00CE4701" w:rsidP="00CE4701">
      <w:pPr>
        <w:pStyle w:val="NoSpacing"/>
        <w:ind w:left="1080"/>
      </w:pPr>
    </w:p>
    <w:p w14:paraId="72970395" w14:textId="665802D5" w:rsidR="0020540A" w:rsidRDefault="0020540A" w:rsidP="0020540A">
      <w:pPr>
        <w:pStyle w:val="NoSpacing"/>
        <w:numPr>
          <w:ilvl w:val="0"/>
          <w:numId w:val="9"/>
        </w:numPr>
        <w:ind w:left="1080"/>
      </w:pPr>
      <w:r>
        <w:t>Power model</w:t>
      </w:r>
    </w:p>
    <w:p w14:paraId="6D619DAA" w14:textId="77777777" w:rsidR="00CE4701" w:rsidRDefault="00CE4701" w:rsidP="00CE4701">
      <w:pPr>
        <w:pStyle w:val="NoSpacing"/>
        <w:ind w:left="1080"/>
      </w:pPr>
    </w:p>
    <w:p w14:paraId="577AD2A6" w14:textId="43E35410" w:rsidR="00F719D0" w:rsidRDefault="00F719D0" w:rsidP="00CE4701">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 xml:space="preserve">=a+b × </m:t>
          </m:r>
          <m:sSup>
            <m:sSupPr>
              <m:ctrlPr>
                <w:rPr>
                  <w:rFonts w:ascii="Cambria Math" w:hAnsi="Cambria Math"/>
                  <w:bCs/>
                  <w:i/>
                </w:rPr>
              </m:ctrlPr>
            </m:sSupPr>
            <m:e>
              <m:r>
                <w:rPr>
                  <w:rFonts w:ascii="Cambria Math" w:hAnsi="Cambria Math"/>
                </w:rPr>
                <m:t>dose</m:t>
              </m:r>
            </m:e>
            <m:sup>
              <m:r>
                <w:rPr>
                  <w:rFonts w:ascii="Cambria Math" w:hAnsi="Cambria Math"/>
                </w:rPr>
                <m:t>g</m:t>
              </m:r>
            </m:sup>
          </m:sSup>
        </m:oMath>
      </m:oMathPara>
    </w:p>
    <w:p w14:paraId="307E226C" w14:textId="77777777" w:rsidR="00D2064D" w:rsidRDefault="00D2064D" w:rsidP="00D2064D">
      <w:pPr>
        <w:pStyle w:val="NoSpacing"/>
        <w:ind w:left="1080"/>
      </w:pPr>
    </w:p>
    <w:p w14:paraId="615C643B" w14:textId="77777777" w:rsidR="00D2064D" w:rsidRDefault="00D2064D" w:rsidP="00D2064D">
      <w:pPr>
        <w:pStyle w:val="NoSpacing"/>
        <w:ind w:left="1080"/>
      </w:pPr>
      <w:r>
        <w:t>Current setting for model parameter priors are:</w:t>
      </w:r>
    </w:p>
    <w:p w14:paraId="6A127697" w14:textId="77777777" w:rsidR="00D2064D" w:rsidRDefault="00D2064D" w:rsidP="00D2064D">
      <w:pPr>
        <w:pStyle w:val="NoSpacing"/>
      </w:pPr>
    </w:p>
    <w:p w14:paraId="6D638CA3" w14:textId="75DB48B6" w:rsidR="00784147" w:rsidRPr="00D2064D" w:rsidRDefault="00784147" w:rsidP="00CE4701">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upper</m:t>
                  </m:r>
                </m:sub>
              </m:sSub>
            </m:e>
          </m:d>
          <m:r>
            <w:rPr>
              <w:rFonts w:ascii="Cambria Math" w:hAnsi="Cambria Math"/>
            </w:rPr>
            <m:t>; b~Uniform</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upper</m:t>
                  </m:r>
                </m:sub>
              </m:sSub>
            </m:e>
          </m:d>
          <m:r>
            <w:rPr>
              <w:rFonts w:ascii="Cambria Math" w:hAnsi="Cambria Math"/>
            </w:rPr>
            <m:t>;g~Uniform(0, 10)</m:t>
          </m:r>
        </m:oMath>
      </m:oMathPara>
    </w:p>
    <w:p w14:paraId="4036C240" w14:textId="77777777" w:rsidR="00D2064D" w:rsidRDefault="00D2064D" w:rsidP="00CE4701">
      <w:pPr>
        <w:pStyle w:val="NoSpacing"/>
        <w:ind w:left="1080"/>
      </w:pPr>
    </w:p>
    <w:p w14:paraId="4A745EBE" w14:textId="77777777" w:rsidR="00784147" w:rsidRDefault="00784147" w:rsidP="00CE4701">
      <w:pPr>
        <w:pStyle w:val="NoSpacing"/>
        <w:ind w:left="1080"/>
      </w:pPr>
    </w:p>
    <w:p w14:paraId="26715F0B" w14:textId="4706EF97" w:rsidR="0020540A" w:rsidRDefault="0020540A" w:rsidP="0020540A">
      <w:pPr>
        <w:pStyle w:val="NoSpacing"/>
        <w:numPr>
          <w:ilvl w:val="0"/>
          <w:numId w:val="9"/>
        </w:numPr>
        <w:ind w:left="1080"/>
      </w:pPr>
      <w:proofErr w:type="spellStart"/>
      <w:r>
        <w:t>Michaelis</w:t>
      </w:r>
      <w:proofErr w:type="spellEnd"/>
      <w:r>
        <w:t xml:space="preserve"> </w:t>
      </w:r>
      <w:proofErr w:type="spellStart"/>
      <w:r>
        <w:t>Menten</w:t>
      </w:r>
      <w:proofErr w:type="spellEnd"/>
      <w:r>
        <w:t xml:space="preserve"> model</w:t>
      </w:r>
    </w:p>
    <w:p w14:paraId="71FB4DCB" w14:textId="77777777" w:rsidR="00D2064D" w:rsidRDefault="00D2064D" w:rsidP="00D2064D">
      <w:pPr>
        <w:pStyle w:val="NoSpacing"/>
        <w:ind w:left="1080"/>
      </w:pPr>
    </w:p>
    <w:p w14:paraId="270ADA9E" w14:textId="488DAA31" w:rsidR="00D2064D" w:rsidRPr="00D2064D" w:rsidRDefault="00D2064D" w:rsidP="00D2064D">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m:t>
          </m:r>
          <m:f>
            <m:fPr>
              <m:ctrlPr>
                <w:rPr>
                  <w:rFonts w:ascii="Cambria Math" w:hAnsi="Cambria Math"/>
                  <w:i/>
                </w:rPr>
              </m:ctrlPr>
            </m:fPr>
            <m:num>
              <m:r>
                <w:rPr>
                  <w:rFonts w:ascii="Cambria Math" w:hAnsi="Cambria Math"/>
                </w:rPr>
                <m:t>b×dose</m:t>
              </m:r>
            </m:num>
            <m:den>
              <m:r>
                <w:rPr>
                  <w:rFonts w:ascii="Cambria Math" w:hAnsi="Cambria Math"/>
                </w:rPr>
                <m:t>c+dose</m:t>
              </m:r>
            </m:den>
          </m:f>
        </m:oMath>
      </m:oMathPara>
    </w:p>
    <w:p w14:paraId="58CBA812" w14:textId="77777777" w:rsidR="00D2064D" w:rsidRDefault="00D2064D" w:rsidP="00D2064D">
      <w:pPr>
        <w:pStyle w:val="NoSpacing"/>
        <w:ind w:left="1080"/>
      </w:pPr>
    </w:p>
    <w:p w14:paraId="3CFD1D80" w14:textId="77777777" w:rsidR="00D2064D" w:rsidRDefault="00D2064D" w:rsidP="00D2064D">
      <w:pPr>
        <w:pStyle w:val="NoSpacing"/>
        <w:ind w:left="1080"/>
      </w:pPr>
      <w:r>
        <w:t>Current setting for model parameter priors are:</w:t>
      </w:r>
    </w:p>
    <w:p w14:paraId="6671AD19" w14:textId="77777777" w:rsidR="00D2064D" w:rsidRDefault="00D2064D" w:rsidP="00D2064D">
      <w:pPr>
        <w:pStyle w:val="NoSpacing"/>
        <w:ind w:left="1080"/>
      </w:pPr>
    </w:p>
    <w:p w14:paraId="4EA9759F" w14:textId="5DF63561" w:rsidR="00D2064D" w:rsidRDefault="00D2064D" w:rsidP="00D2064D">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upper</m:t>
                  </m:r>
                </m:sub>
              </m:sSub>
            </m:e>
          </m:d>
          <m:r>
            <w:rPr>
              <w:rFonts w:ascii="Cambria Math" w:hAnsi="Cambria Math"/>
            </w:rPr>
            <m:t>; b~Uniform</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upper</m:t>
                  </m:r>
                </m:sub>
              </m:sSub>
            </m:e>
          </m:d>
          <m:r>
            <w:rPr>
              <w:rFonts w:ascii="Cambria Math" w:hAnsi="Cambria Math"/>
            </w:rPr>
            <m:t>;c~Uniform(0, 10)</m:t>
          </m:r>
        </m:oMath>
      </m:oMathPara>
    </w:p>
    <w:p w14:paraId="56122310" w14:textId="77777777" w:rsidR="00D2064D" w:rsidRDefault="00D2064D" w:rsidP="00D2064D">
      <w:pPr>
        <w:pStyle w:val="NoSpacing"/>
        <w:ind w:left="1080"/>
      </w:pPr>
    </w:p>
    <w:p w14:paraId="6D12B968" w14:textId="5BD86709" w:rsidR="0020540A" w:rsidRDefault="0020540A" w:rsidP="0020540A">
      <w:pPr>
        <w:pStyle w:val="NoSpacing"/>
        <w:numPr>
          <w:ilvl w:val="0"/>
          <w:numId w:val="9"/>
        </w:numPr>
        <w:ind w:left="1080"/>
      </w:pPr>
      <w:r>
        <w:t xml:space="preserve">Hill model </w:t>
      </w:r>
    </w:p>
    <w:p w14:paraId="50E4464D" w14:textId="77777777" w:rsidR="00D2064D" w:rsidRDefault="00D2064D" w:rsidP="00D2064D">
      <w:pPr>
        <w:pStyle w:val="NoSpacing"/>
        <w:ind w:left="1080"/>
      </w:pPr>
    </w:p>
    <w:p w14:paraId="18C105C2" w14:textId="09A94AF5" w:rsidR="00D2064D" w:rsidRPr="00D2064D" w:rsidRDefault="00D2064D" w:rsidP="00D2064D">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dose</m:t>
                  </m:r>
                </m:e>
                <m:sup>
                  <m:r>
                    <w:rPr>
                      <w:rFonts w:ascii="Cambria Math" w:hAnsi="Cambria Math"/>
                    </w:rPr>
                    <m:t>g</m:t>
                  </m:r>
                </m:sup>
              </m:sSup>
            </m:num>
            <m:den>
              <m:sSup>
                <m:sSupPr>
                  <m:ctrlPr>
                    <w:rPr>
                      <w:rFonts w:ascii="Cambria Math" w:hAnsi="Cambria Math"/>
                      <w:i/>
                    </w:rPr>
                  </m:ctrlPr>
                </m:sSupPr>
                <m:e>
                  <m:r>
                    <w:rPr>
                      <w:rFonts w:ascii="Cambria Math" w:hAnsi="Cambria Math"/>
                    </w:rPr>
                    <m:t>c</m:t>
                  </m:r>
                </m:e>
                <m:sup>
                  <m:r>
                    <w:rPr>
                      <w:rFonts w:ascii="Cambria Math" w:hAnsi="Cambria Math"/>
                    </w:rPr>
                    <m:t>g</m:t>
                  </m:r>
                </m:sup>
              </m:sSup>
              <m:r>
                <w:rPr>
                  <w:rFonts w:ascii="Cambria Math" w:hAnsi="Cambria Math"/>
                </w:rPr>
                <m:t>+</m:t>
              </m:r>
              <m:sSup>
                <m:sSupPr>
                  <m:ctrlPr>
                    <w:rPr>
                      <w:rFonts w:ascii="Cambria Math" w:hAnsi="Cambria Math"/>
                      <w:i/>
                    </w:rPr>
                  </m:ctrlPr>
                </m:sSupPr>
                <m:e>
                  <m:r>
                    <w:rPr>
                      <w:rFonts w:ascii="Cambria Math" w:hAnsi="Cambria Math"/>
                    </w:rPr>
                    <m:t>dose</m:t>
                  </m:r>
                </m:e>
                <m:sup>
                  <m:r>
                    <w:rPr>
                      <w:rFonts w:ascii="Cambria Math" w:hAnsi="Cambria Math"/>
                    </w:rPr>
                    <m:t>g</m:t>
                  </m:r>
                </m:sup>
              </m:sSup>
            </m:den>
          </m:f>
        </m:oMath>
      </m:oMathPara>
    </w:p>
    <w:p w14:paraId="40068F76" w14:textId="77777777" w:rsidR="00D2064D" w:rsidRDefault="00D2064D" w:rsidP="00D2064D">
      <w:pPr>
        <w:pStyle w:val="NoSpacing"/>
        <w:ind w:left="1080"/>
      </w:pPr>
    </w:p>
    <w:p w14:paraId="56BA6D3E" w14:textId="77777777" w:rsidR="00D2064D" w:rsidRDefault="00D2064D" w:rsidP="00D2064D">
      <w:pPr>
        <w:pStyle w:val="NoSpacing"/>
        <w:ind w:left="1080"/>
      </w:pPr>
      <w:r>
        <w:t>Current setting for model parameter priors are:</w:t>
      </w:r>
    </w:p>
    <w:p w14:paraId="48FDD963" w14:textId="77777777" w:rsidR="00D2064D" w:rsidRDefault="00D2064D" w:rsidP="00D2064D">
      <w:pPr>
        <w:pStyle w:val="NoSpacing"/>
        <w:ind w:left="1080"/>
      </w:pPr>
    </w:p>
    <w:p w14:paraId="4D897A17" w14:textId="27080415" w:rsidR="00D2064D" w:rsidRPr="00180311" w:rsidRDefault="00D2064D" w:rsidP="00D2064D">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upper</m:t>
                  </m:r>
                </m:sub>
              </m:sSub>
            </m:e>
          </m:d>
          <m:r>
            <w:rPr>
              <w:rFonts w:ascii="Cambria Math" w:hAnsi="Cambria Math"/>
            </w:rPr>
            <m:t>; b~Uniform</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upper</m:t>
                  </m:r>
                </m:sub>
              </m:sSub>
            </m:e>
          </m:d>
          <m:r>
            <w:rPr>
              <w:rFonts w:ascii="Cambria Math" w:hAnsi="Cambria Math"/>
            </w:rPr>
            <m:t>;c~Uniform</m:t>
          </m:r>
          <m:d>
            <m:dPr>
              <m:ctrlPr>
                <w:rPr>
                  <w:rFonts w:ascii="Cambria Math" w:hAnsi="Cambria Math"/>
                  <w:i/>
                </w:rPr>
              </m:ctrlPr>
            </m:dPr>
            <m:e>
              <m:r>
                <w:rPr>
                  <w:rFonts w:ascii="Cambria Math" w:hAnsi="Cambria Math"/>
                </w:rPr>
                <m:t>0, 10</m:t>
              </m:r>
            </m:e>
          </m:d>
          <m:r>
            <w:rPr>
              <w:rFonts w:ascii="Cambria Math" w:hAnsi="Cambria Math"/>
            </w:rPr>
            <m:t>; g~Uniform</m:t>
          </m:r>
          <m:d>
            <m:dPr>
              <m:ctrlPr>
                <w:rPr>
                  <w:rFonts w:ascii="Cambria Math" w:hAnsi="Cambria Math"/>
                  <w:i/>
                </w:rPr>
              </m:ctrlPr>
            </m:dPr>
            <m:e>
              <m:r>
                <w:rPr>
                  <w:rFonts w:ascii="Cambria Math" w:hAnsi="Cambria Math"/>
                </w:rPr>
                <m:t>0, 10</m:t>
              </m:r>
            </m:e>
          </m:d>
        </m:oMath>
      </m:oMathPara>
    </w:p>
    <w:p w14:paraId="4B139A5D" w14:textId="77777777" w:rsidR="00180311" w:rsidRDefault="00180311" w:rsidP="00D2064D">
      <w:pPr>
        <w:pStyle w:val="NoSpacing"/>
        <w:ind w:left="1080"/>
      </w:pPr>
    </w:p>
    <w:p w14:paraId="4A15C60B" w14:textId="18E96FD7" w:rsidR="00180311" w:rsidRDefault="00180311" w:rsidP="00EF5DC7">
      <w:pPr>
        <w:pStyle w:val="NoSpacing"/>
        <w:ind w:left="720" w:firstLine="360"/>
      </w:pPr>
      <w:r>
        <w:t xml:space="preserve">For the Linear, Power, </w:t>
      </w:r>
      <w:proofErr w:type="spellStart"/>
      <w:r>
        <w:t>Michaelis</w:t>
      </w:r>
      <w:proofErr w:type="spellEnd"/>
      <w:r>
        <w:t xml:space="preserve"> </w:t>
      </w:r>
      <w:proofErr w:type="spellStart"/>
      <w:r>
        <w:t>Menten</w:t>
      </w:r>
      <w:proofErr w:type="spellEnd"/>
      <w:r>
        <w:t xml:space="preserve"> and Hill model, the lower and upper bound of the </w:t>
      </w:r>
      <w:r w:rsidR="00A56A72">
        <w:t>parameter b are</w:t>
      </w:r>
      <w:r>
        <w:t xml:space="preserve"> determine</w:t>
      </w:r>
      <w:r w:rsidR="00A56A72">
        <w:t>d</w:t>
      </w:r>
      <w:r>
        <w:t xml:space="preserve"> by the dose-response trend and the </w:t>
      </w:r>
      <w:r w:rsidR="00E27648">
        <w:t>overall slope. For increasing trend:</w:t>
      </w:r>
    </w:p>
    <w:p w14:paraId="00564CB9" w14:textId="1219DF3B" w:rsidR="00E27648" w:rsidRPr="00E27648" w:rsidRDefault="0000455A" w:rsidP="00D2064D">
      <w:pPr>
        <w:pStyle w:val="NoSpacing"/>
        <w:ind w:left="1080"/>
      </w:pPr>
      <m:oMathPara>
        <m:oMath>
          <m:sSub>
            <m:sSubPr>
              <m:ctrlPr>
                <w:rPr>
                  <w:rFonts w:ascii="Cambria Math" w:hAnsi="Cambria Math"/>
                  <w:i/>
                </w:rPr>
              </m:ctrlPr>
            </m:sSubPr>
            <m:e>
              <m:r>
                <w:rPr>
                  <w:rFonts w:ascii="Cambria Math" w:hAnsi="Cambria Math"/>
                </w:rPr>
                <m:t>b</m:t>
              </m:r>
            </m:e>
            <m:sub>
              <m:r>
                <w:rPr>
                  <w:rFonts w:ascii="Cambria Math" w:hAnsi="Cambria Math"/>
                </w:rPr>
                <m:t>lower</m:t>
              </m:r>
            </m:sub>
          </m:sSub>
          <m:r>
            <w:rPr>
              <w:rFonts w:ascii="Cambria Math" w:hAnsi="Cambria Math"/>
            </w:rPr>
            <m:t>=0</m:t>
          </m:r>
        </m:oMath>
      </m:oMathPara>
    </w:p>
    <w:p w14:paraId="3383480B" w14:textId="77777777" w:rsidR="00E27648" w:rsidRPr="00E27648" w:rsidRDefault="00E27648" w:rsidP="00D2064D">
      <w:pPr>
        <w:pStyle w:val="NoSpacing"/>
        <w:ind w:left="1080"/>
      </w:pPr>
    </w:p>
    <w:p w14:paraId="4A474B4E" w14:textId="6E3938F1" w:rsidR="00E27648" w:rsidRPr="00E27648" w:rsidRDefault="0000455A" w:rsidP="00D2064D">
      <w:pPr>
        <w:pStyle w:val="NoSpacing"/>
        <w:ind w:left="1080"/>
      </w:pPr>
      <m:oMathPara>
        <m:oMath>
          <m:sSub>
            <m:sSubPr>
              <m:ctrlPr>
                <w:rPr>
                  <w:rFonts w:ascii="Cambria Math" w:hAnsi="Cambria Math"/>
                  <w:i/>
                </w:rPr>
              </m:ctrlPr>
            </m:sSubPr>
            <m:e>
              <m:r>
                <w:rPr>
                  <w:rFonts w:ascii="Cambria Math" w:hAnsi="Cambria Math"/>
                </w:rPr>
                <m:t>b</m:t>
              </m:r>
            </m:e>
            <m:sub>
              <m:r>
                <w:rPr>
                  <w:rFonts w:ascii="Cambria Math" w:hAnsi="Cambria Math"/>
                </w:rPr>
                <m:t>upper</m:t>
              </m:r>
            </m:sub>
          </m:sSub>
          <m:r>
            <w:rPr>
              <w:rFonts w:ascii="Cambria Math" w:hAnsi="Cambria Math"/>
            </w:rPr>
            <m:t>=</m:t>
          </m:r>
          <m:f>
            <m:fPr>
              <m:ctrlPr>
                <w:rPr>
                  <w:rFonts w:ascii="Cambria Math" w:hAnsi="Cambria Math"/>
                  <w:i/>
                </w:rPr>
              </m:ctrlPr>
            </m:fPr>
            <m:num>
              <m:r>
                <w:rPr>
                  <w:rFonts w:ascii="Cambria Math" w:hAnsi="Cambria Math"/>
                </w:rPr>
                <m:t>Max Resp-Min Resp</m:t>
              </m:r>
            </m:num>
            <m:den>
              <m:sSub>
                <m:sSubPr>
                  <m:ctrlPr>
                    <w:rPr>
                      <w:rFonts w:ascii="Cambria Math" w:hAnsi="Cambria Math"/>
                      <w:i/>
                    </w:rPr>
                  </m:ctrlPr>
                </m:sSubPr>
                <m:e>
                  <m:r>
                    <w:rPr>
                      <w:rFonts w:ascii="Cambria Math" w:hAnsi="Cambria Math"/>
                    </w:rPr>
                    <m:t>Dose</m:t>
                  </m:r>
                </m:e>
                <m:sub>
                  <m:r>
                    <w:rPr>
                      <w:rFonts w:ascii="Cambria Math" w:hAnsi="Cambria Math"/>
                    </w:rPr>
                    <m:t>Max_resp</m:t>
                  </m:r>
                </m:sub>
              </m:sSub>
              <m:r>
                <w:rPr>
                  <w:rFonts w:ascii="Cambria Math" w:hAnsi="Cambria Math"/>
                </w:rPr>
                <m:t>-</m:t>
              </m:r>
              <m:sSub>
                <m:sSubPr>
                  <m:ctrlPr>
                    <w:rPr>
                      <w:rFonts w:ascii="Cambria Math" w:hAnsi="Cambria Math"/>
                      <w:i/>
                    </w:rPr>
                  </m:ctrlPr>
                </m:sSubPr>
                <m:e>
                  <m:r>
                    <w:rPr>
                      <w:rFonts w:ascii="Cambria Math" w:hAnsi="Cambria Math"/>
                    </w:rPr>
                    <m:t>Dose</m:t>
                  </m:r>
                </m:e>
                <m:sub>
                  <m:r>
                    <w:rPr>
                      <w:rFonts w:ascii="Cambria Math" w:hAnsi="Cambria Math"/>
                    </w:rPr>
                    <m:t>Min_Resp</m:t>
                  </m:r>
                </m:sub>
              </m:sSub>
            </m:den>
          </m:f>
          <m:r>
            <w:rPr>
              <w:rFonts w:ascii="Cambria Math" w:hAnsi="Cambria Math"/>
            </w:rPr>
            <m:t>×5</m:t>
          </m:r>
        </m:oMath>
      </m:oMathPara>
    </w:p>
    <w:p w14:paraId="4E6F9C98" w14:textId="77777777" w:rsidR="00E27648" w:rsidRDefault="00E27648" w:rsidP="00D2064D">
      <w:pPr>
        <w:pStyle w:val="NoSpacing"/>
        <w:ind w:left="1080"/>
      </w:pPr>
    </w:p>
    <w:p w14:paraId="244A6293" w14:textId="26D27A46" w:rsidR="00E27648" w:rsidRDefault="00E27648" w:rsidP="00EF5DC7">
      <w:pPr>
        <w:pStyle w:val="NoSpacing"/>
        <w:ind w:left="720"/>
      </w:pPr>
      <w:r>
        <w:t>For decreasing trend:</w:t>
      </w:r>
    </w:p>
    <w:p w14:paraId="4B9B4B72" w14:textId="77777777" w:rsidR="00E27648" w:rsidRDefault="00E27648" w:rsidP="00D2064D">
      <w:pPr>
        <w:pStyle w:val="NoSpacing"/>
        <w:ind w:left="1080"/>
      </w:pPr>
    </w:p>
    <w:p w14:paraId="034A3915" w14:textId="310B2CB6" w:rsidR="00E27648" w:rsidRPr="00E27648" w:rsidRDefault="0000455A" w:rsidP="00E27648">
      <w:pPr>
        <w:pStyle w:val="NoSpacing"/>
        <w:ind w:left="1080"/>
      </w:pPr>
      <m:oMathPara>
        <m:oMath>
          <m:sSub>
            <m:sSubPr>
              <m:ctrlPr>
                <w:rPr>
                  <w:rFonts w:ascii="Cambria Math" w:hAnsi="Cambria Math"/>
                  <w:i/>
                </w:rPr>
              </m:ctrlPr>
            </m:sSubPr>
            <m:e>
              <m:r>
                <w:rPr>
                  <w:rFonts w:ascii="Cambria Math" w:hAnsi="Cambria Math"/>
                </w:rPr>
                <m:t>b</m:t>
              </m:r>
            </m:e>
            <m:sub>
              <m:r>
                <w:rPr>
                  <w:rFonts w:ascii="Cambria Math" w:hAnsi="Cambria Math"/>
                </w:rPr>
                <m:t>lower</m:t>
              </m:r>
            </m:sub>
          </m:sSub>
          <m:r>
            <w:rPr>
              <w:rFonts w:ascii="Cambria Math" w:hAnsi="Cambria Math"/>
            </w:rPr>
            <m:t>=</m:t>
          </m:r>
          <m:f>
            <m:fPr>
              <m:ctrlPr>
                <w:rPr>
                  <w:rFonts w:ascii="Cambria Math" w:hAnsi="Cambria Math"/>
                  <w:i/>
                </w:rPr>
              </m:ctrlPr>
            </m:fPr>
            <m:num>
              <m:r>
                <w:rPr>
                  <w:rFonts w:ascii="Cambria Math" w:hAnsi="Cambria Math"/>
                </w:rPr>
                <m:t>Min Resp-Max Resp</m:t>
              </m:r>
            </m:num>
            <m:den>
              <m:sSub>
                <m:sSubPr>
                  <m:ctrlPr>
                    <w:rPr>
                      <w:rFonts w:ascii="Cambria Math" w:hAnsi="Cambria Math"/>
                      <w:i/>
                    </w:rPr>
                  </m:ctrlPr>
                </m:sSubPr>
                <m:e>
                  <m:r>
                    <w:rPr>
                      <w:rFonts w:ascii="Cambria Math" w:hAnsi="Cambria Math"/>
                    </w:rPr>
                    <m:t>Dose</m:t>
                  </m:r>
                </m:e>
                <m:sub>
                  <m:r>
                    <w:rPr>
                      <w:rFonts w:ascii="Cambria Math" w:hAnsi="Cambria Math"/>
                    </w:rPr>
                    <m:t>Min_resp</m:t>
                  </m:r>
                </m:sub>
              </m:sSub>
              <m:r>
                <w:rPr>
                  <w:rFonts w:ascii="Cambria Math" w:hAnsi="Cambria Math"/>
                </w:rPr>
                <m:t>-</m:t>
              </m:r>
              <m:sSub>
                <m:sSubPr>
                  <m:ctrlPr>
                    <w:rPr>
                      <w:rFonts w:ascii="Cambria Math" w:hAnsi="Cambria Math"/>
                      <w:i/>
                    </w:rPr>
                  </m:ctrlPr>
                </m:sSubPr>
                <m:e>
                  <m:r>
                    <w:rPr>
                      <w:rFonts w:ascii="Cambria Math" w:hAnsi="Cambria Math"/>
                    </w:rPr>
                    <m:t>Dose</m:t>
                  </m:r>
                </m:e>
                <m:sub>
                  <m:r>
                    <w:rPr>
                      <w:rFonts w:ascii="Cambria Math" w:hAnsi="Cambria Math"/>
                    </w:rPr>
                    <m:t>Max_Resp</m:t>
                  </m:r>
                </m:sub>
              </m:sSub>
            </m:den>
          </m:f>
          <m:r>
            <w:rPr>
              <w:rFonts w:ascii="Cambria Math" w:hAnsi="Cambria Math"/>
            </w:rPr>
            <m:t>×5</m:t>
          </m:r>
        </m:oMath>
      </m:oMathPara>
    </w:p>
    <w:p w14:paraId="1FAA2C02" w14:textId="77777777" w:rsidR="00E27648" w:rsidRDefault="00E27648" w:rsidP="00E27648">
      <w:pPr>
        <w:pStyle w:val="NoSpacing"/>
        <w:ind w:left="1080"/>
      </w:pPr>
    </w:p>
    <w:p w14:paraId="6491E216" w14:textId="77777777" w:rsidR="00E27648" w:rsidRPr="008B515E" w:rsidRDefault="0000455A" w:rsidP="00E27648">
      <w:pPr>
        <w:pStyle w:val="NoSpacing"/>
        <w:ind w:left="1080"/>
      </w:pPr>
      <m:oMathPara>
        <m:oMath>
          <m:sSub>
            <m:sSubPr>
              <m:ctrlPr>
                <w:rPr>
                  <w:rFonts w:ascii="Cambria Math" w:hAnsi="Cambria Math"/>
                  <w:i/>
                </w:rPr>
              </m:ctrlPr>
            </m:sSubPr>
            <m:e>
              <m:r>
                <w:rPr>
                  <w:rFonts w:ascii="Cambria Math" w:hAnsi="Cambria Math"/>
                </w:rPr>
                <m:t>b</m:t>
              </m:r>
            </m:e>
            <m:sub>
              <m:r>
                <w:rPr>
                  <w:rFonts w:ascii="Cambria Math" w:hAnsi="Cambria Math"/>
                </w:rPr>
                <m:t>upper</m:t>
              </m:r>
            </m:sub>
          </m:sSub>
          <m:r>
            <w:rPr>
              <w:rFonts w:ascii="Cambria Math" w:hAnsi="Cambria Math"/>
            </w:rPr>
            <m:t>=0</m:t>
          </m:r>
        </m:oMath>
      </m:oMathPara>
    </w:p>
    <w:p w14:paraId="7864CEAD" w14:textId="77777777" w:rsidR="008B515E" w:rsidRPr="00E27648" w:rsidRDefault="008B515E" w:rsidP="00E27648">
      <w:pPr>
        <w:pStyle w:val="NoSpacing"/>
        <w:ind w:left="1080"/>
      </w:pPr>
    </w:p>
    <w:p w14:paraId="5EE90892" w14:textId="5D379E4F" w:rsidR="00D2064D" w:rsidRDefault="00EF5DC7" w:rsidP="00EF5DC7">
      <w:pPr>
        <w:pStyle w:val="NoSpacing"/>
        <w:tabs>
          <w:tab w:val="left" w:pos="630"/>
        </w:tabs>
        <w:ind w:left="720"/>
      </w:pPr>
      <w:r>
        <w:t xml:space="preserve">        </w:t>
      </w:r>
      <w:r w:rsidR="008B515E">
        <w:t xml:space="preserve">A similar idea is applied when the input data are summary continuous data, </w:t>
      </w:r>
      <w:r w:rsidR="00FE54DA">
        <w:t xml:space="preserve">the only difference is that the Min </w:t>
      </w:r>
      <w:proofErr w:type="spellStart"/>
      <w:r w:rsidR="00FE54DA">
        <w:t>Resp</w:t>
      </w:r>
      <w:proofErr w:type="spellEnd"/>
      <w:r w:rsidR="00FE54DA">
        <w:t xml:space="preserve"> and Max </w:t>
      </w:r>
      <w:proofErr w:type="spellStart"/>
      <w:r w:rsidR="00FE54DA">
        <w:t>Resp</w:t>
      </w:r>
      <w:proofErr w:type="spellEnd"/>
      <w:r w:rsidR="00FE54DA">
        <w:t xml:space="preserve"> will be </w:t>
      </w:r>
      <w:r w:rsidR="008B515E">
        <w:t>approximated by the summary data.</w:t>
      </w:r>
    </w:p>
    <w:p w14:paraId="2CFAA7FA" w14:textId="77777777" w:rsidR="00D2064D" w:rsidRDefault="00D2064D" w:rsidP="00D2064D">
      <w:pPr>
        <w:pStyle w:val="NoSpacing"/>
        <w:ind w:left="1080"/>
      </w:pPr>
    </w:p>
    <w:p w14:paraId="39C124B3" w14:textId="77777777" w:rsidR="00EF5DC7" w:rsidRDefault="00EF5DC7" w:rsidP="00D2064D">
      <w:pPr>
        <w:pStyle w:val="NoSpacing"/>
        <w:ind w:left="1080"/>
      </w:pPr>
    </w:p>
    <w:p w14:paraId="65C1EE1B" w14:textId="17F5AD52" w:rsidR="0020540A" w:rsidRDefault="0020540A" w:rsidP="0020540A">
      <w:pPr>
        <w:pStyle w:val="NoSpacing"/>
        <w:numPr>
          <w:ilvl w:val="0"/>
          <w:numId w:val="9"/>
        </w:numPr>
        <w:ind w:left="1080"/>
      </w:pPr>
      <w:r>
        <w:t>Exponential 2 model</w:t>
      </w:r>
    </w:p>
    <w:p w14:paraId="49DAC85B" w14:textId="77777777" w:rsidR="004957A7" w:rsidRPr="004957A7" w:rsidRDefault="004957A7" w:rsidP="004957A7">
      <w:pPr>
        <w:pStyle w:val="NoSpacing"/>
        <w:ind w:left="1080"/>
      </w:pPr>
    </w:p>
    <w:p w14:paraId="7980BCFD" w14:textId="0ADC9098" w:rsidR="004957A7" w:rsidRDefault="004957A7" w:rsidP="004957A7">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b×dose</m:t>
              </m:r>
            </m:sup>
          </m:sSup>
        </m:oMath>
      </m:oMathPara>
    </w:p>
    <w:p w14:paraId="5ADF3A02" w14:textId="77777777" w:rsidR="004957A7" w:rsidRDefault="004957A7" w:rsidP="00A3079B">
      <w:pPr>
        <w:pStyle w:val="NoSpacing"/>
      </w:pPr>
    </w:p>
    <w:p w14:paraId="3215487A" w14:textId="77777777" w:rsidR="00A3079B" w:rsidRDefault="00A3079B" w:rsidP="00A3079B">
      <w:pPr>
        <w:pStyle w:val="NoSpacing"/>
        <w:ind w:left="1080"/>
      </w:pPr>
      <w:r>
        <w:t>Current setting for model parameter priors are:</w:t>
      </w:r>
    </w:p>
    <w:p w14:paraId="48259336" w14:textId="77777777" w:rsidR="00A3079B" w:rsidRDefault="00A3079B" w:rsidP="00A3079B">
      <w:pPr>
        <w:pStyle w:val="NoSpacing"/>
        <w:ind w:left="1080"/>
      </w:pPr>
    </w:p>
    <w:p w14:paraId="740D0211" w14:textId="12DEAA73" w:rsidR="00A3079B" w:rsidRDefault="00A3079B" w:rsidP="004957A7">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upper</m:t>
                  </m:r>
                </m:sub>
              </m:sSub>
            </m:e>
          </m:d>
          <m:r>
            <w:rPr>
              <w:rFonts w:ascii="Cambria Math" w:hAnsi="Cambria Math"/>
            </w:rPr>
            <m:t>; b~Uniform(-20, 20)</m:t>
          </m:r>
        </m:oMath>
      </m:oMathPara>
    </w:p>
    <w:p w14:paraId="40C1418F" w14:textId="77777777" w:rsidR="004957A7" w:rsidRDefault="004957A7" w:rsidP="004957A7">
      <w:pPr>
        <w:pStyle w:val="NoSpacing"/>
        <w:ind w:left="1080"/>
      </w:pPr>
    </w:p>
    <w:p w14:paraId="033DC4BD" w14:textId="77777777" w:rsidR="00A3079B" w:rsidRDefault="00A3079B" w:rsidP="004957A7">
      <w:pPr>
        <w:pStyle w:val="NoSpacing"/>
        <w:ind w:left="1080"/>
      </w:pPr>
    </w:p>
    <w:p w14:paraId="702254A9" w14:textId="35826F8A" w:rsidR="0020540A" w:rsidRDefault="0020540A" w:rsidP="0020540A">
      <w:pPr>
        <w:pStyle w:val="NoSpacing"/>
        <w:numPr>
          <w:ilvl w:val="0"/>
          <w:numId w:val="9"/>
        </w:numPr>
        <w:ind w:left="1080"/>
      </w:pPr>
      <w:r>
        <w:t>Exponential 3 model</w:t>
      </w:r>
    </w:p>
    <w:p w14:paraId="73B13AA8" w14:textId="77777777" w:rsidR="00A3079B" w:rsidRDefault="00A3079B" w:rsidP="00A3079B">
      <w:pPr>
        <w:pStyle w:val="NoSpacing"/>
        <w:ind w:left="1080"/>
      </w:pPr>
    </w:p>
    <w:p w14:paraId="6380E7E4" w14:textId="14BDA6FB" w:rsidR="00A3079B" w:rsidRDefault="00A3079B" w:rsidP="00A3079B">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r>
                    <w:rPr>
                      <w:rFonts w:ascii="Cambria Math" w:hAnsi="Cambria Math"/>
                    </w:rPr>
                    <m:t>dose</m:t>
                  </m:r>
                </m:e>
                <m:sup>
                  <m:r>
                    <w:rPr>
                      <w:rFonts w:ascii="Cambria Math" w:hAnsi="Cambria Math"/>
                    </w:rPr>
                    <m:t>g</m:t>
                  </m:r>
                </m:sup>
              </m:sSup>
            </m:sup>
          </m:sSup>
        </m:oMath>
      </m:oMathPara>
    </w:p>
    <w:p w14:paraId="7124417B" w14:textId="77777777" w:rsidR="00A3079B" w:rsidRDefault="00A3079B" w:rsidP="00A3079B">
      <w:pPr>
        <w:pStyle w:val="NoSpacing"/>
        <w:ind w:left="1080"/>
      </w:pPr>
    </w:p>
    <w:p w14:paraId="4D8F137B" w14:textId="77777777" w:rsidR="00A3079B" w:rsidRDefault="00A3079B" w:rsidP="00A3079B">
      <w:pPr>
        <w:pStyle w:val="NoSpacing"/>
        <w:ind w:left="1080"/>
      </w:pPr>
      <w:r>
        <w:t>Current setting for model parameter priors are:</w:t>
      </w:r>
    </w:p>
    <w:p w14:paraId="04EB2FFA" w14:textId="77777777" w:rsidR="00A3079B" w:rsidRDefault="00A3079B" w:rsidP="00A3079B">
      <w:pPr>
        <w:pStyle w:val="NoSpacing"/>
        <w:ind w:left="1080"/>
      </w:pPr>
    </w:p>
    <w:p w14:paraId="16F10598" w14:textId="51531D96" w:rsidR="00A3079B" w:rsidRPr="00522A04" w:rsidRDefault="00A3079B" w:rsidP="00867D33">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upper</m:t>
                  </m:r>
                </m:sub>
              </m:sSub>
            </m:e>
          </m:d>
          <m:r>
            <w:rPr>
              <w:rFonts w:ascii="Cambria Math" w:hAnsi="Cambria Math"/>
            </w:rPr>
            <m:t>; b~Uniform</m:t>
          </m:r>
          <m:d>
            <m:dPr>
              <m:ctrlPr>
                <w:rPr>
                  <w:rFonts w:ascii="Cambria Math" w:hAnsi="Cambria Math"/>
                  <w:i/>
                </w:rPr>
              </m:ctrlPr>
            </m:dPr>
            <m:e>
              <m:r>
                <w:rPr>
                  <w:rFonts w:ascii="Cambria Math" w:hAnsi="Cambria Math"/>
                </w:rPr>
                <m:t>-20, 20</m:t>
              </m:r>
            </m:e>
          </m:d>
          <m:r>
            <w:rPr>
              <w:rFonts w:ascii="Cambria Math" w:hAnsi="Cambria Math"/>
            </w:rPr>
            <m:t>;g~Uniform(0, 10)</m:t>
          </m:r>
        </m:oMath>
      </m:oMathPara>
    </w:p>
    <w:p w14:paraId="363993EA" w14:textId="77777777" w:rsidR="00522A04" w:rsidRDefault="00522A04" w:rsidP="00867D33">
      <w:pPr>
        <w:pStyle w:val="NoSpacing"/>
        <w:ind w:left="1080"/>
      </w:pPr>
    </w:p>
    <w:p w14:paraId="0A41B4CA" w14:textId="57B3FE88" w:rsidR="00522A04" w:rsidRPr="00867D33" w:rsidRDefault="00522A04" w:rsidP="00867D33">
      <w:pPr>
        <w:pStyle w:val="NoSpacing"/>
        <w:ind w:left="1080"/>
      </w:pPr>
      <w:r>
        <w:t>Additionally, g is limited to be larger than 1.</w:t>
      </w:r>
    </w:p>
    <w:p w14:paraId="7CA2E9FE" w14:textId="77777777" w:rsidR="00867D33" w:rsidRDefault="00867D33" w:rsidP="00867D33">
      <w:pPr>
        <w:pStyle w:val="NoSpacing"/>
        <w:ind w:left="1080"/>
      </w:pPr>
    </w:p>
    <w:p w14:paraId="7D33466D" w14:textId="77777777" w:rsidR="00A3079B" w:rsidRDefault="00A3079B" w:rsidP="00A3079B">
      <w:pPr>
        <w:pStyle w:val="NoSpacing"/>
        <w:ind w:left="1080"/>
      </w:pPr>
    </w:p>
    <w:p w14:paraId="7016CB4E" w14:textId="0F8FE219" w:rsidR="0020540A" w:rsidRDefault="0020540A" w:rsidP="0020540A">
      <w:pPr>
        <w:pStyle w:val="NoSpacing"/>
        <w:numPr>
          <w:ilvl w:val="0"/>
          <w:numId w:val="9"/>
        </w:numPr>
        <w:ind w:left="1080"/>
      </w:pPr>
      <w:r>
        <w:t>Exponential 4 model</w:t>
      </w:r>
    </w:p>
    <w:p w14:paraId="752DFE74" w14:textId="77777777" w:rsidR="00867D33" w:rsidRDefault="00867D33" w:rsidP="00867D33">
      <w:pPr>
        <w:pStyle w:val="NoSpacing"/>
        <w:ind w:left="1080"/>
      </w:pPr>
    </w:p>
    <w:p w14:paraId="0291A44C" w14:textId="296567FA" w:rsidR="00867D33" w:rsidRDefault="00867D33" w:rsidP="00867D33">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m:t>
          </m:r>
          <m:sSup>
            <m:sSupPr>
              <m:ctrlPr>
                <w:rPr>
                  <w:rFonts w:ascii="Cambria Math" w:hAnsi="Cambria Math"/>
                  <w:i/>
                </w:rPr>
              </m:ctrlPr>
            </m:sSupPr>
            <m:e>
              <m:r>
                <w:rPr>
                  <w:rFonts w:ascii="Cambria Math" w:hAnsi="Cambria Math"/>
                </w:rPr>
                <m:t>[c-(c-1)×e</m:t>
              </m:r>
            </m:e>
            <m:sup>
              <m:r>
                <w:rPr>
                  <w:rFonts w:ascii="Cambria Math" w:hAnsi="Cambria Math"/>
                </w:rPr>
                <m:t>b×dose</m:t>
              </m:r>
            </m:sup>
          </m:sSup>
          <m:r>
            <w:rPr>
              <w:rFonts w:ascii="Cambria Math" w:hAnsi="Cambria Math"/>
            </w:rPr>
            <m:t>]</m:t>
          </m:r>
        </m:oMath>
      </m:oMathPara>
    </w:p>
    <w:p w14:paraId="28589834" w14:textId="77777777" w:rsidR="00867D33" w:rsidRDefault="00867D33" w:rsidP="00867D33">
      <w:pPr>
        <w:pStyle w:val="NoSpacing"/>
        <w:ind w:left="1080"/>
      </w:pPr>
    </w:p>
    <w:p w14:paraId="69D3DD41" w14:textId="77777777" w:rsidR="00867D33" w:rsidRDefault="00867D33" w:rsidP="00867D33">
      <w:pPr>
        <w:pStyle w:val="NoSpacing"/>
        <w:ind w:left="1080"/>
      </w:pPr>
      <w:r>
        <w:t>Current setting for model parameter priors are:</w:t>
      </w:r>
    </w:p>
    <w:p w14:paraId="7FDBF9B3" w14:textId="77777777" w:rsidR="00867D33" w:rsidRDefault="00867D33" w:rsidP="00867D33">
      <w:pPr>
        <w:pStyle w:val="NoSpacing"/>
        <w:ind w:left="1080"/>
      </w:pPr>
    </w:p>
    <w:p w14:paraId="3507483B" w14:textId="16617EB9" w:rsidR="00867D33" w:rsidRPr="00867D33" w:rsidRDefault="00867D33" w:rsidP="00867D33">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upper</m:t>
                  </m:r>
                </m:sub>
              </m:sSub>
            </m:e>
          </m:d>
          <m:r>
            <w:rPr>
              <w:rFonts w:ascii="Cambria Math" w:hAnsi="Cambria Math"/>
            </w:rPr>
            <m:t>; b~Uniform</m:t>
          </m:r>
          <m:d>
            <m:dPr>
              <m:ctrlPr>
                <w:rPr>
                  <w:rFonts w:ascii="Cambria Math" w:hAnsi="Cambria Math"/>
                  <w:i/>
                </w:rPr>
              </m:ctrlPr>
            </m:dPr>
            <m:e>
              <m:r>
                <w:rPr>
                  <w:rFonts w:ascii="Cambria Math" w:hAnsi="Cambria Math"/>
                </w:rPr>
                <m:t>0, 20</m:t>
              </m:r>
            </m:e>
          </m:d>
          <m:r>
            <w:rPr>
              <w:rFonts w:ascii="Cambria Math" w:hAnsi="Cambria Math"/>
            </w:rPr>
            <m:t>;c~Uniform(0, 10)</m:t>
          </m:r>
        </m:oMath>
      </m:oMathPara>
    </w:p>
    <w:p w14:paraId="6F7A47E7" w14:textId="77777777" w:rsidR="00867D33" w:rsidRDefault="00867D33" w:rsidP="00522A04">
      <w:pPr>
        <w:pStyle w:val="NoSpacing"/>
      </w:pPr>
    </w:p>
    <w:p w14:paraId="41255C4F" w14:textId="77777777" w:rsidR="00867D33" w:rsidRDefault="00867D33" w:rsidP="00867D33">
      <w:pPr>
        <w:pStyle w:val="NoSpacing"/>
        <w:ind w:left="1080"/>
      </w:pPr>
    </w:p>
    <w:p w14:paraId="67FDD2E1" w14:textId="743E3490" w:rsidR="0020540A" w:rsidRDefault="0020540A" w:rsidP="0020540A">
      <w:pPr>
        <w:pStyle w:val="NoSpacing"/>
        <w:numPr>
          <w:ilvl w:val="0"/>
          <w:numId w:val="9"/>
        </w:numPr>
        <w:ind w:left="1080"/>
      </w:pPr>
      <w:r>
        <w:t>Exponential 5 model</w:t>
      </w:r>
    </w:p>
    <w:p w14:paraId="54BBC0BF" w14:textId="77777777" w:rsidR="00405508" w:rsidRDefault="00405508" w:rsidP="00405508">
      <w:pPr>
        <w:pStyle w:val="NoSpacing"/>
        <w:ind w:left="1080"/>
      </w:pPr>
    </w:p>
    <w:p w14:paraId="35749773" w14:textId="202C6156" w:rsidR="00522A04" w:rsidRDefault="00522A04" w:rsidP="00522A04">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=a×[c-(c-1)×</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r>
                    <w:rPr>
                      <w:rFonts w:ascii="Cambria Math" w:hAnsi="Cambria Math"/>
                    </w:rPr>
                    <m:t>dose</m:t>
                  </m:r>
                </m:e>
                <m:sup>
                  <m:r>
                    <w:rPr>
                      <w:rFonts w:ascii="Cambria Math" w:hAnsi="Cambria Math"/>
                    </w:rPr>
                    <m:t>g</m:t>
                  </m:r>
                </m:sup>
              </m:sSup>
            </m:sup>
          </m:sSup>
          <m:r>
            <w:rPr>
              <w:rFonts w:ascii="Cambria Math" w:hAnsi="Cambria Math"/>
            </w:rPr>
            <m:t>]</m:t>
          </m:r>
        </m:oMath>
      </m:oMathPara>
    </w:p>
    <w:p w14:paraId="54E2DF9B" w14:textId="77777777" w:rsidR="00522A04" w:rsidRDefault="00522A04" w:rsidP="00522A04">
      <w:pPr>
        <w:pStyle w:val="NoSpacing"/>
        <w:ind w:left="1080"/>
      </w:pPr>
    </w:p>
    <w:p w14:paraId="1EA92C6E" w14:textId="77777777" w:rsidR="00522A04" w:rsidRDefault="00522A04" w:rsidP="00522A04">
      <w:pPr>
        <w:pStyle w:val="NoSpacing"/>
        <w:ind w:left="1080"/>
      </w:pPr>
      <w:r>
        <w:t>Current setting for model parameter priors are:</w:t>
      </w:r>
    </w:p>
    <w:p w14:paraId="5B1A39BF" w14:textId="77777777" w:rsidR="00522A04" w:rsidRDefault="00522A04" w:rsidP="00522A04">
      <w:pPr>
        <w:pStyle w:val="NoSpacing"/>
        <w:ind w:left="1080"/>
      </w:pPr>
    </w:p>
    <w:p w14:paraId="182640A9" w14:textId="7558BCC0" w:rsidR="00522A04" w:rsidRPr="00EF5DC7" w:rsidRDefault="00522A04" w:rsidP="00522A04">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upper</m:t>
                  </m:r>
                </m:sub>
              </m:sSub>
            </m:e>
          </m:d>
          <m:r>
            <w:rPr>
              <w:rFonts w:ascii="Cambria Math" w:hAnsi="Cambria Math"/>
            </w:rPr>
            <m:t>; b~Uniform</m:t>
          </m:r>
          <m:d>
            <m:dPr>
              <m:ctrlPr>
                <w:rPr>
                  <w:rFonts w:ascii="Cambria Math" w:hAnsi="Cambria Math"/>
                  <w:i/>
                </w:rPr>
              </m:ctrlPr>
            </m:dPr>
            <m:e>
              <m:r>
                <w:rPr>
                  <w:rFonts w:ascii="Cambria Math" w:hAnsi="Cambria Math"/>
                </w:rPr>
                <m:t>0, 20</m:t>
              </m:r>
            </m:e>
          </m:d>
          <m:r>
            <w:rPr>
              <w:rFonts w:ascii="Cambria Math" w:hAnsi="Cambria Math"/>
            </w:rPr>
            <m:t>;c~Uniform</m:t>
          </m:r>
          <m:d>
            <m:dPr>
              <m:ctrlPr>
                <w:rPr>
                  <w:rFonts w:ascii="Cambria Math" w:hAnsi="Cambria Math"/>
                  <w:i/>
                </w:rPr>
              </m:ctrlPr>
            </m:dPr>
            <m:e>
              <m:r>
                <w:rPr>
                  <w:rFonts w:ascii="Cambria Math" w:hAnsi="Cambria Math"/>
                </w:rPr>
                <m:t>0, 10</m:t>
              </m:r>
            </m:e>
          </m:d>
          <m:r>
            <w:rPr>
              <w:rFonts w:ascii="Cambria Math" w:hAnsi="Cambria Math"/>
            </w:rPr>
            <m:t>;g~Uniform(0, 10)</m:t>
          </m:r>
        </m:oMath>
      </m:oMathPara>
    </w:p>
    <w:p w14:paraId="017DC2EC" w14:textId="77777777" w:rsidR="00EF5DC7" w:rsidRDefault="00EF5DC7" w:rsidP="00522A04">
      <w:pPr>
        <w:pStyle w:val="NoSpacing"/>
        <w:ind w:left="1080"/>
      </w:pPr>
    </w:p>
    <w:p w14:paraId="5EE8F539" w14:textId="77777777" w:rsidR="00EF5DC7" w:rsidRPr="00867D33" w:rsidRDefault="00EF5DC7" w:rsidP="00EF5DC7">
      <w:pPr>
        <w:pStyle w:val="NoSpacing"/>
        <w:ind w:left="1080"/>
      </w:pPr>
      <w:r>
        <w:t>Additionally, g is limited to be larger than 1.</w:t>
      </w:r>
    </w:p>
    <w:p w14:paraId="0BC54A61" w14:textId="77777777" w:rsidR="00EF5DC7" w:rsidRDefault="00EF5DC7" w:rsidP="00EF5DC7">
      <w:pPr>
        <w:pStyle w:val="NoSpacing"/>
      </w:pPr>
    </w:p>
    <w:p w14:paraId="2AC32888" w14:textId="77777777" w:rsidR="00EF5DC7" w:rsidRDefault="00EF5DC7" w:rsidP="00EF5DC7">
      <w:pPr>
        <w:pStyle w:val="NoSpacing"/>
      </w:pPr>
    </w:p>
    <w:p w14:paraId="0E415B3F" w14:textId="37FE70D3" w:rsidR="00F53E01" w:rsidRDefault="00F53E01" w:rsidP="00EF5DC7">
      <w:pPr>
        <w:pStyle w:val="NoSpacing"/>
      </w:pPr>
      <w:r>
        <w:t xml:space="preserve">       </w:t>
      </w:r>
      <w:r w:rsidR="00EF5DC7">
        <w:t>For all of the continuous models, the upper bound of the uniform distributi</w:t>
      </w:r>
      <w:r>
        <w:t xml:space="preserve">on used for parameter a is determined in the same way: </w:t>
      </w:r>
    </w:p>
    <w:p w14:paraId="073EE4E4" w14:textId="77777777" w:rsidR="00F53E01" w:rsidRDefault="00F53E01" w:rsidP="00EF5DC7">
      <w:pPr>
        <w:pStyle w:val="NoSpacing"/>
      </w:pPr>
    </w:p>
    <w:p w14:paraId="2A1466AC" w14:textId="7C56468A" w:rsidR="00EF5DC7" w:rsidRPr="00F53E01" w:rsidRDefault="0000455A" w:rsidP="00F53E01">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upper</m:t>
              </m:r>
            </m:sub>
          </m:sSub>
          <m:r>
            <w:rPr>
              <w:rFonts w:ascii="Cambria Math" w:hAnsi="Cambria Math"/>
            </w:rPr>
            <m:t>=</m:t>
          </m:r>
          <m:r>
            <m:rPr>
              <m:sty m:val="p"/>
            </m:rPr>
            <w:rPr>
              <w:rFonts w:ascii="Cambria Math" w:hAnsi="Cambria Math"/>
            </w:rPr>
            <m:t>max⁡</m:t>
          </m:r>
          <m:r>
            <w:rPr>
              <w:rFonts w:ascii="Cambria Math" w:hAnsi="Cambria Math"/>
            </w:rPr>
            <m:t>(response)×2</m:t>
          </m:r>
        </m:oMath>
      </m:oMathPara>
    </w:p>
    <w:p w14:paraId="12DFC15E" w14:textId="77777777" w:rsidR="00F53E01" w:rsidRPr="00F53E01" w:rsidRDefault="00F53E01" w:rsidP="00F53E01">
      <w:pPr>
        <w:pStyle w:val="NoSpacing"/>
        <w:jc w:val="center"/>
      </w:pPr>
    </w:p>
    <w:p w14:paraId="19F9D812" w14:textId="6741BAEB" w:rsidR="00F53E01" w:rsidRDefault="00F53E01" w:rsidP="00F53E01">
      <w:pPr>
        <w:pStyle w:val="NoSpacing"/>
      </w:pPr>
      <w:r>
        <w:t xml:space="preserve">                i.e., 2 times the largest response value in the input dataset.</w:t>
      </w:r>
    </w:p>
    <w:p w14:paraId="2D09F204" w14:textId="77777777" w:rsidR="00F53E01" w:rsidRDefault="00F53E01" w:rsidP="00F53E01">
      <w:pPr>
        <w:pStyle w:val="NoSpacing"/>
      </w:pPr>
    </w:p>
    <w:p w14:paraId="418004B7" w14:textId="69B2B10B" w:rsidR="00F53E01" w:rsidRPr="00F53E01" w:rsidRDefault="00F53E01" w:rsidP="00F53E01">
      <w:pPr>
        <w:pStyle w:val="NoSpacing"/>
      </w:pPr>
      <w:r>
        <w:t xml:space="preserve">       Additionally, for continuous data, we need to estimate the parameter </w:t>
      </w:r>
      <m:oMath>
        <m:r>
          <w:rPr>
            <w:rFonts w:ascii="Cambria Math" w:hAnsi="Cambria Math"/>
          </w:rPr>
          <m:t>σ</m:t>
        </m:r>
      </m:oMath>
      <w:r>
        <w:t xml:space="preserve"> which is used to represent the within-dose-group variance in addition to the parameters in the dose-response model. The prior for </w:t>
      </w:r>
      <m:oMath>
        <m:r>
          <w:rPr>
            <w:rFonts w:ascii="Cambria Math" w:hAnsi="Cambria Math"/>
          </w:rPr>
          <m:t>σ</m:t>
        </m:r>
      </m:oMath>
      <w:r>
        <w:t xml:space="preserve"> is </w:t>
      </w:r>
      <m:oMath>
        <m:r>
          <w:rPr>
            <w:rFonts w:ascii="Cambria Math" w:hAnsi="Cambria Math"/>
          </w:rPr>
          <m:t>σ~Uniform</m:t>
        </m:r>
        <m:d>
          <m:dPr>
            <m:ctrlPr>
              <w:rPr>
                <w:rFonts w:ascii="Cambria Math" w:hAnsi="Cambria Math"/>
                <w:i/>
              </w:rPr>
            </m:ctrlPr>
          </m:dPr>
          <m:e>
            <m:r>
              <w:rPr>
                <w:rFonts w:ascii="Cambria Math" w:hAnsi="Cambria Math"/>
              </w:rPr>
              <m:t>0,2.5</m:t>
            </m:r>
          </m:e>
        </m:d>
      </m:oMath>
      <w:r>
        <w:t xml:space="preserve"> for all continuous models.</w:t>
      </w:r>
    </w:p>
    <w:p w14:paraId="3852BA3A" w14:textId="77777777" w:rsidR="00522A04" w:rsidRDefault="00522A04" w:rsidP="007767E6">
      <w:pPr>
        <w:pStyle w:val="NoSpacing"/>
      </w:pPr>
    </w:p>
    <w:p w14:paraId="58BF1424" w14:textId="77777777" w:rsidR="00522A04" w:rsidRDefault="00522A04" w:rsidP="00405508">
      <w:pPr>
        <w:pStyle w:val="NoSpacing"/>
        <w:ind w:left="1080"/>
      </w:pPr>
    </w:p>
    <w:p w14:paraId="11736722" w14:textId="77777777" w:rsidR="0020540A" w:rsidRDefault="0020540A" w:rsidP="00405508">
      <w:pPr>
        <w:pStyle w:val="NoSpacing"/>
        <w:ind w:left="1080"/>
      </w:pPr>
    </w:p>
    <w:p w14:paraId="430ECBCC" w14:textId="77777777" w:rsidR="00DF1CEC" w:rsidRPr="00642944" w:rsidRDefault="00DF1CEC" w:rsidP="005E2A5D">
      <w:pPr>
        <w:pStyle w:val="NoSpacing"/>
        <w:numPr>
          <w:ilvl w:val="1"/>
          <w:numId w:val="3"/>
        </w:numPr>
        <w:outlineLvl w:val="1"/>
        <w:rPr>
          <w:b/>
          <w:i/>
        </w:rPr>
      </w:pPr>
      <w:bookmarkStart w:id="10" w:name="_Toc445740014"/>
      <w:r w:rsidRPr="00642944">
        <w:rPr>
          <w:b/>
          <w:i/>
        </w:rPr>
        <w:t>Add and Delete Models</w:t>
      </w:r>
      <w:bookmarkEnd w:id="10"/>
    </w:p>
    <w:p w14:paraId="29AD16DF" w14:textId="77777777" w:rsidR="00DF1CEC" w:rsidRDefault="00DF1CEC" w:rsidP="00DF1CEC">
      <w:pPr>
        <w:pStyle w:val="NoSpacing"/>
        <w:ind w:left="720"/>
      </w:pPr>
    </w:p>
    <w:p w14:paraId="7053209B" w14:textId="77777777" w:rsidR="000806F9" w:rsidRDefault="000806F9" w:rsidP="00DF1CEC">
      <w:pPr>
        <w:pStyle w:val="NoSpacing"/>
        <w:ind w:left="720"/>
      </w:pPr>
      <w:r>
        <w:t>Select a model from the pull-down menu then press “Create” to add the model to a list of models to be fitted</w:t>
      </w:r>
      <w:r w:rsidR="000146D2">
        <w:t>, which are shown on the left panel</w:t>
      </w:r>
      <w:r>
        <w:t>.</w:t>
      </w:r>
      <w:r w:rsidR="00206A20">
        <w:t xml:space="preserve"> To add </w:t>
      </w:r>
      <w:r w:rsidR="00AE4109">
        <w:t>another</w:t>
      </w:r>
      <w:r w:rsidR="00206A20">
        <w:t xml:space="preserve"> model to the </w:t>
      </w:r>
      <w:r w:rsidR="00AE4109">
        <w:t xml:space="preserve">list, press “Add new model” on the left panel first, then </w:t>
      </w:r>
      <w:r w:rsidR="000146D2">
        <w:t>use the same way to “Create”.</w:t>
      </w:r>
    </w:p>
    <w:p w14:paraId="4016D1F8" w14:textId="77777777" w:rsidR="000146D2" w:rsidRDefault="000146D2" w:rsidP="00DF1CEC">
      <w:pPr>
        <w:pStyle w:val="NoSpacing"/>
        <w:ind w:left="720"/>
      </w:pPr>
    </w:p>
    <w:p w14:paraId="4681F414" w14:textId="77777777" w:rsidR="000146D2" w:rsidRDefault="000146D2" w:rsidP="00DF1CEC">
      <w:pPr>
        <w:pStyle w:val="NoSpacing"/>
        <w:ind w:left="720"/>
      </w:pPr>
      <w:r>
        <w:t xml:space="preserve">To delete or update a model, click a model name shown on the left panel, then </w:t>
      </w:r>
      <w:r w:rsidR="00DF1864">
        <w:t>use the “Update” or “Delete” function.</w:t>
      </w:r>
    </w:p>
    <w:p w14:paraId="027D8D12" w14:textId="77777777" w:rsidR="00E667D6" w:rsidRDefault="00E667D6" w:rsidP="00DF1CEC">
      <w:pPr>
        <w:pStyle w:val="NoSpacing"/>
        <w:ind w:left="720"/>
      </w:pPr>
    </w:p>
    <w:p w14:paraId="2DB1D9C1" w14:textId="77777777" w:rsidR="00287408" w:rsidRDefault="00287408" w:rsidP="00DF1CEC">
      <w:pPr>
        <w:pStyle w:val="NoSpacing"/>
        <w:ind w:left="720"/>
      </w:pPr>
    </w:p>
    <w:p w14:paraId="381AAA92" w14:textId="3D339EE6" w:rsidR="00287408" w:rsidRPr="006E76BD" w:rsidRDefault="00287408" w:rsidP="00287408">
      <w:pPr>
        <w:pStyle w:val="NoSpacing"/>
        <w:numPr>
          <w:ilvl w:val="0"/>
          <w:numId w:val="3"/>
        </w:numPr>
        <w:outlineLvl w:val="0"/>
        <w:rPr>
          <w:b/>
          <w:sz w:val="24"/>
        </w:rPr>
      </w:pPr>
      <w:bookmarkStart w:id="11" w:name="_Toc445740015"/>
      <w:r>
        <w:rPr>
          <w:b/>
          <w:sz w:val="24"/>
        </w:rPr>
        <w:t>Execute</w:t>
      </w:r>
      <w:r w:rsidR="00F719D0">
        <w:rPr>
          <w:b/>
          <w:sz w:val="24"/>
        </w:rPr>
        <w:t xml:space="preserve"> Model Fit</w:t>
      </w:r>
      <w:bookmarkEnd w:id="11"/>
    </w:p>
    <w:p w14:paraId="0063AEA2" w14:textId="77777777" w:rsidR="00F719D0" w:rsidRDefault="00F719D0" w:rsidP="00287408">
      <w:pPr>
        <w:pStyle w:val="NoSpacing"/>
        <w:ind w:left="720"/>
      </w:pPr>
    </w:p>
    <w:p w14:paraId="720E67D2" w14:textId="60980EF0" w:rsidR="00287408" w:rsidRDefault="00F719D0" w:rsidP="00287408">
      <w:pPr>
        <w:pStyle w:val="NoSpacing"/>
        <w:ind w:left="720"/>
      </w:pPr>
      <w:r>
        <w:t xml:space="preserve">When the first three tabs have been successfully completed, </w:t>
      </w:r>
      <w:r w:rsidR="007767E6">
        <w:t xml:space="preserve">you can go to the fourth tab “Execute model fit”. </w:t>
      </w:r>
      <w:r w:rsidR="00287408">
        <w:t xml:space="preserve"> </w:t>
      </w:r>
      <w:r w:rsidR="00F47D9E">
        <w:t>If all of the first three steps have been saved properly,</w:t>
      </w:r>
      <w:r w:rsidR="00A84C5E">
        <w:t xml:space="preserve"> the three boxes on this page will be green. Then click “Execute” to run the program to fit the models.</w:t>
      </w:r>
    </w:p>
    <w:p w14:paraId="30975167" w14:textId="77777777" w:rsidR="00287408" w:rsidRDefault="00287408" w:rsidP="00DF1CEC">
      <w:pPr>
        <w:pStyle w:val="NoSpacing"/>
        <w:ind w:left="720"/>
      </w:pPr>
    </w:p>
    <w:p w14:paraId="4ACFF7F1" w14:textId="01822A72" w:rsidR="00A84C5E" w:rsidRDefault="00A84C5E" w:rsidP="00DF1CEC">
      <w:pPr>
        <w:pStyle w:val="NoSpacing"/>
        <w:ind w:left="720"/>
      </w:pPr>
      <w:r>
        <w:t>After the running is finished, the fifth and sixth tab “Model fit results” and “BMD estimates”</w:t>
      </w:r>
      <w:r w:rsidR="00947966">
        <w:t xml:space="preserve"> previously greyed out now is available.</w:t>
      </w:r>
    </w:p>
    <w:p w14:paraId="2C48D78E" w14:textId="77777777" w:rsidR="00947966" w:rsidRDefault="00947966" w:rsidP="00DF1CEC">
      <w:pPr>
        <w:pStyle w:val="NoSpacing"/>
        <w:ind w:left="720"/>
      </w:pPr>
    </w:p>
    <w:p w14:paraId="64605F56" w14:textId="77777777" w:rsidR="00C91A8B" w:rsidRDefault="00C91A8B" w:rsidP="00C91A8B">
      <w:pPr>
        <w:pStyle w:val="NoSpacing"/>
      </w:pPr>
    </w:p>
    <w:p w14:paraId="6036531D" w14:textId="44820393" w:rsidR="00146D88" w:rsidRPr="006E76BD" w:rsidRDefault="00A84C5E" w:rsidP="005E2A5D">
      <w:pPr>
        <w:pStyle w:val="NoSpacing"/>
        <w:numPr>
          <w:ilvl w:val="0"/>
          <w:numId w:val="3"/>
        </w:numPr>
        <w:outlineLvl w:val="0"/>
        <w:rPr>
          <w:b/>
          <w:sz w:val="24"/>
        </w:rPr>
      </w:pPr>
      <w:bookmarkStart w:id="12" w:name="_Toc445740016"/>
      <w:r>
        <w:rPr>
          <w:b/>
          <w:sz w:val="24"/>
        </w:rPr>
        <w:t xml:space="preserve">Model </w:t>
      </w:r>
      <w:r w:rsidR="00A8643E" w:rsidRPr="006E76BD">
        <w:rPr>
          <w:b/>
          <w:sz w:val="24"/>
        </w:rPr>
        <w:t>Fit Results</w:t>
      </w:r>
      <w:bookmarkEnd w:id="12"/>
    </w:p>
    <w:p w14:paraId="1F1F5674" w14:textId="77777777" w:rsidR="00217DE0" w:rsidRDefault="00217DE0" w:rsidP="00217DE0">
      <w:pPr>
        <w:pStyle w:val="NoSpacing"/>
        <w:ind w:left="720"/>
      </w:pPr>
      <w:r>
        <w:t xml:space="preserve">On the “Fit results” tab, the </w:t>
      </w:r>
      <w:r w:rsidR="006E76BD">
        <w:t>all results obtained from the MCMC fitting process are displayed. Click one model on the left</w:t>
      </w:r>
      <w:r w:rsidR="000C312B">
        <w:t xml:space="preserve"> panel, then the results will be shown on the right.</w:t>
      </w:r>
    </w:p>
    <w:p w14:paraId="10446E98" w14:textId="77777777" w:rsidR="00E75D02" w:rsidRDefault="00E75D02" w:rsidP="00217DE0">
      <w:pPr>
        <w:pStyle w:val="NoSpacing"/>
        <w:ind w:left="720"/>
      </w:pPr>
    </w:p>
    <w:p w14:paraId="2C537784" w14:textId="77777777" w:rsidR="00E75D02" w:rsidRPr="00E75D02" w:rsidRDefault="00E75D02" w:rsidP="005E2A5D">
      <w:pPr>
        <w:pStyle w:val="NoSpacing"/>
        <w:numPr>
          <w:ilvl w:val="1"/>
          <w:numId w:val="3"/>
        </w:numPr>
        <w:outlineLvl w:val="1"/>
        <w:rPr>
          <w:b/>
          <w:i/>
        </w:rPr>
      </w:pPr>
      <w:bookmarkStart w:id="13" w:name="_Toc445740017"/>
      <w:r w:rsidRPr="00E75D02">
        <w:rPr>
          <w:b/>
          <w:i/>
        </w:rPr>
        <w:t>Textual Output of Parameters</w:t>
      </w:r>
      <w:bookmarkEnd w:id="13"/>
    </w:p>
    <w:p w14:paraId="191CC292" w14:textId="77777777" w:rsidR="00E75D02" w:rsidRDefault="00E75D02" w:rsidP="00E75D02">
      <w:pPr>
        <w:pStyle w:val="NoSpacing"/>
        <w:ind w:left="720"/>
      </w:pPr>
    </w:p>
    <w:p w14:paraId="7F6116AE" w14:textId="77777777" w:rsidR="00E75D02" w:rsidRDefault="00E75D02" w:rsidP="00E75D02">
      <w:pPr>
        <w:pStyle w:val="NoSpacing"/>
        <w:ind w:left="720"/>
      </w:pPr>
      <w:r>
        <w:t xml:space="preserve">The first box is directly obtained from </w:t>
      </w:r>
      <w:proofErr w:type="spellStart"/>
      <w:r>
        <w:t>PyStan’s</w:t>
      </w:r>
      <w:proofErr w:type="spellEnd"/>
      <w:r>
        <w:t xml:space="preserve"> fit output, including some important statistics for model parameters and diagnostic indictors for the MCMC algorithms. For example, the “</w:t>
      </w:r>
      <w:proofErr w:type="spellStart"/>
      <w:r>
        <w:t>Rhat</w:t>
      </w:r>
      <w:proofErr w:type="spellEnd"/>
      <w:r>
        <w:t xml:space="preserve">” can be used to judge if the MCMC chains have converged properly. If </w:t>
      </w:r>
      <w:proofErr w:type="spellStart"/>
      <w:r>
        <w:t>Rhat</w:t>
      </w:r>
      <w:proofErr w:type="spellEnd"/>
      <w:r>
        <w:t xml:space="preserve"> value is larger than 1.05, you may consider increase the length of MCMC chains to get better convergence. Detailed explanation on the Stan outputs can be found at: </w:t>
      </w:r>
      <w:hyperlink r:id="rId8" w:history="1">
        <w:r w:rsidRPr="0088219E">
          <w:rPr>
            <w:rStyle w:val="Hyperlink"/>
          </w:rPr>
          <w:t>https://github.com/stan-dev/stan/releases/download/v2.9.0/stan-reference-2.9.0.pdf</w:t>
        </w:r>
      </w:hyperlink>
      <w:r>
        <w:t xml:space="preserve"> </w:t>
      </w:r>
    </w:p>
    <w:p w14:paraId="4AB00187" w14:textId="77777777" w:rsidR="00E75D02" w:rsidRDefault="00E75D02" w:rsidP="00E75D02">
      <w:pPr>
        <w:pStyle w:val="NoSpacing"/>
      </w:pPr>
    </w:p>
    <w:p w14:paraId="5D377CAC" w14:textId="77777777" w:rsidR="00E75D02" w:rsidRPr="00E75D02" w:rsidRDefault="00E75D02" w:rsidP="005E2A5D">
      <w:pPr>
        <w:pStyle w:val="NoSpacing"/>
        <w:numPr>
          <w:ilvl w:val="1"/>
          <w:numId w:val="3"/>
        </w:numPr>
        <w:outlineLvl w:val="1"/>
        <w:rPr>
          <w:b/>
          <w:i/>
        </w:rPr>
      </w:pPr>
      <w:bookmarkStart w:id="14" w:name="_Toc445740018"/>
      <w:r w:rsidRPr="00E75D02">
        <w:rPr>
          <w:b/>
          <w:i/>
        </w:rPr>
        <w:t>Interactive DR Plot</w:t>
      </w:r>
      <w:bookmarkEnd w:id="14"/>
    </w:p>
    <w:p w14:paraId="34B6AA27" w14:textId="77777777" w:rsidR="009831C0" w:rsidRDefault="009831C0" w:rsidP="00217DE0">
      <w:pPr>
        <w:pStyle w:val="NoSpacing"/>
        <w:ind w:left="720"/>
      </w:pPr>
    </w:p>
    <w:p w14:paraId="5EAA6193" w14:textId="77777777" w:rsidR="009831C0" w:rsidRDefault="009831C0" w:rsidP="00217DE0">
      <w:pPr>
        <w:pStyle w:val="NoSpacing"/>
        <w:ind w:left="720"/>
      </w:pPr>
      <w:r>
        <w:t>An interactive dose-r</w:t>
      </w:r>
      <w:r w:rsidR="009B514A">
        <w:t>esponse curve is plotted below. One the plot, the median and 90</w:t>
      </w:r>
      <w:r w:rsidR="009B514A" w:rsidRPr="009B514A">
        <w:rPr>
          <w:vertAlign w:val="superscript"/>
        </w:rPr>
        <w:t>th</w:t>
      </w:r>
      <w:r w:rsidR="009B514A">
        <w:t xml:space="preserve"> percentile interval are shown. The dose scale of the plot is from 0 to 1.5 times the maximum dose level in the </w:t>
      </w:r>
      <w:r w:rsidR="00A636FE">
        <w:t>input data. The dose step for the interactive DR plot is the maximum dose level on the plot divided by 1000.</w:t>
      </w:r>
    </w:p>
    <w:p w14:paraId="496E2236" w14:textId="77777777" w:rsidR="00A636FE" w:rsidRDefault="00A636FE" w:rsidP="00217DE0">
      <w:pPr>
        <w:pStyle w:val="NoSpacing"/>
        <w:ind w:left="720"/>
      </w:pPr>
    </w:p>
    <w:p w14:paraId="21235B58" w14:textId="77777777" w:rsidR="00E75D02" w:rsidRPr="00E75D02" w:rsidRDefault="00E75D02" w:rsidP="005E2A5D">
      <w:pPr>
        <w:pStyle w:val="NoSpacing"/>
        <w:numPr>
          <w:ilvl w:val="1"/>
          <w:numId w:val="3"/>
        </w:numPr>
        <w:outlineLvl w:val="1"/>
        <w:rPr>
          <w:b/>
          <w:i/>
        </w:rPr>
      </w:pPr>
      <w:bookmarkStart w:id="15" w:name="_Toc445740019"/>
      <w:r w:rsidRPr="00E75D02">
        <w:rPr>
          <w:b/>
          <w:i/>
        </w:rPr>
        <w:t>Posterior Predictive P-value</w:t>
      </w:r>
      <w:bookmarkEnd w:id="15"/>
    </w:p>
    <w:p w14:paraId="6473FDC2" w14:textId="77777777" w:rsidR="00E75D02" w:rsidRDefault="00E75D02" w:rsidP="00E75D02">
      <w:pPr>
        <w:pStyle w:val="NoSpacing"/>
        <w:ind w:left="720"/>
      </w:pPr>
    </w:p>
    <w:p w14:paraId="50DADD8F" w14:textId="77777777" w:rsidR="00E75D02" w:rsidRDefault="00E75D02" w:rsidP="00E75D02">
      <w:pPr>
        <w:pStyle w:val="NoSpacing"/>
        <w:ind w:left="720"/>
      </w:pPr>
      <w:r>
        <w:t>A posterior predictive p-value is reported below the plot. This indicator can be used to judge if the fitting of this particular model is adequate. Practically, if the value is between 0.025 and 0.975, then the fitting is adequate. The calculation procedure is briefly described below:</w:t>
      </w:r>
    </w:p>
    <w:p w14:paraId="777287DE" w14:textId="77777777" w:rsidR="00E75D02" w:rsidRDefault="00E75D02" w:rsidP="00E75D02">
      <w:pPr>
        <w:pStyle w:val="NoSpacing"/>
        <w:numPr>
          <w:ilvl w:val="0"/>
          <w:numId w:val="5"/>
        </w:numPr>
        <w:ind w:left="1440"/>
      </w:pPr>
      <w:r>
        <w:lastRenderedPageBreak/>
        <w:t xml:space="preserve">Use each bundle of parameters in the kept posterior sample to form a dose-response model and randomly generate case numbers, </w:t>
      </w:r>
      <m:oMath>
        <m:sSup>
          <m:sSupPr>
            <m:ctrlPr>
              <w:rPr>
                <w:rFonts w:ascii="Cambria Math" w:hAnsi="Cambria Math"/>
                <w:i/>
              </w:rPr>
            </m:ctrlPr>
          </m:sSupPr>
          <m:e>
            <m:r>
              <w:rPr>
                <w:rFonts w:ascii="Cambria Math" w:hAnsi="Cambria Math"/>
              </w:rPr>
              <m:t>y</m:t>
            </m:r>
          </m:e>
          <m:sup>
            <m:r>
              <w:rPr>
                <w:rFonts w:ascii="Cambria Math" w:hAnsi="Cambria Math"/>
              </w:rPr>
              <m:t>rep</m:t>
            </m:r>
          </m:sup>
        </m:sSup>
      </m:oMath>
      <w:r>
        <w:t>, at all dose levels in the original dataset</w:t>
      </w:r>
    </w:p>
    <w:p w14:paraId="7FD35671" w14:textId="77777777" w:rsidR="00E75D02" w:rsidRDefault="00E75D02" w:rsidP="00E75D02">
      <w:pPr>
        <w:pStyle w:val="NoSpacing"/>
        <w:numPr>
          <w:ilvl w:val="0"/>
          <w:numId w:val="5"/>
        </w:numPr>
        <w:ind w:left="1440"/>
      </w:pPr>
      <w:r>
        <w:t>Use posterior sample of model parameters to calculate a test statistic for both the original data set (</w:t>
      </w:r>
      <m:oMath>
        <m:r>
          <w:rPr>
            <w:rFonts w:ascii="Cambria Math" w:hAnsi="Cambria Math"/>
          </w:rPr>
          <m:t>d, n, y</m:t>
        </m:r>
      </m:oMath>
      <w:r>
        <w:t>) and the replicated data set (</w:t>
      </w:r>
      <m:oMath>
        <m:r>
          <w:rPr>
            <w:rFonts w:ascii="Cambria Math" w:hAnsi="Cambria Math"/>
          </w:rPr>
          <m:t>d,n,</m:t>
        </m:r>
        <m:sSup>
          <m:sSupPr>
            <m:ctrlPr>
              <w:rPr>
                <w:rFonts w:ascii="Cambria Math" w:hAnsi="Cambria Math"/>
                <w:i/>
              </w:rPr>
            </m:ctrlPr>
          </m:sSupPr>
          <m:e>
            <m:r>
              <w:rPr>
                <w:rFonts w:ascii="Cambria Math" w:hAnsi="Cambria Math"/>
              </w:rPr>
              <m:t>y</m:t>
            </m:r>
          </m:e>
          <m:sup>
            <m:r>
              <w:rPr>
                <w:rFonts w:ascii="Cambria Math" w:hAnsi="Cambria Math"/>
              </w:rPr>
              <m:t>rep</m:t>
            </m:r>
          </m:sup>
        </m:sSup>
      </m:oMath>
      <w:r>
        <w:t xml:space="preserve">). The test statistic used in this system is log-likelihood. For parameter values from the </w:t>
      </w:r>
      <w:r w:rsidRPr="009110E7">
        <w:rPr>
          <w:i/>
        </w:rPr>
        <w:t>l</w:t>
      </w:r>
      <w:r>
        <w:t xml:space="preserve"> </w:t>
      </w:r>
      <w:proofErr w:type="spellStart"/>
      <w:r>
        <w:t>th</w:t>
      </w:r>
      <w:proofErr w:type="spellEnd"/>
      <w:r>
        <w:t xml:space="preserve"> iteration, we have statistic </w:t>
      </w:r>
      <m:oMath>
        <m:r>
          <w:rPr>
            <w:rFonts w:ascii="Cambria Math" w:hAnsi="Cambria Math"/>
          </w:rPr>
          <m:t>T(y,</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 xml:space="preserve"> and </w:t>
      </w:r>
      <m:oMath>
        <m:r>
          <w:rPr>
            <w:rFonts w:ascii="Cambria Math" w:hAnsi="Cambria Math"/>
          </w:rPr>
          <m:t>T(</m:t>
        </m:r>
        <m:sSup>
          <m:sSupPr>
            <m:ctrlPr>
              <w:rPr>
                <w:rFonts w:ascii="Cambria Math" w:hAnsi="Cambria Math"/>
                <w:i/>
              </w:rPr>
            </m:ctrlPr>
          </m:sSupPr>
          <m:e>
            <m:r>
              <w:rPr>
                <w:rFonts w:ascii="Cambria Math" w:hAnsi="Cambria Math"/>
              </w:rPr>
              <m:t>y</m:t>
            </m:r>
          </m:e>
          <m:sup>
            <m:r>
              <w:rPr>
                <w:rFonts w:ascii="Cambria Math" w:hAnsi="Cambria Math"/>
              </w:rPr>
              <m:t>rep</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w:t>
      </w:r>
    </w:p>
    <w:p w14:paraId="69A8248F" w14:textId="77777777" w:rsidR="00E75D02" w:rsidRDefault="00E75D02" w:rsidP="00E75D02">
      <w:pPr>
        <w:pStyle w:val="NoSpacing"/>
        <w:numPr>
          <w:ilvl w:val="0"/>
          <w:numId w:val="5"/>
        </w:numPr>
        <w:ind w:left="1440"/>
      </w:pPr>
      <w:r>
        <w:t xml:space="preserve">For </w:t>
      </w:r>
      <w:r w:rsidRPr="00F84B91">
        <w:rPr>
          <w:i/>
        </w:rPr>
        <w:t xml:space="preserve">l </w:t>
      </w:r>
      <w:r>
        <w:t xml:space="preserve">= 1, … , L (the length of posterior sample), compare each pair of </w:t>
      </w:r>
      <m:oMath>
        <m:r>
          <w:rPr>
            <w:rFonts w:ascii="Cambria Math" w:hAnsi="Cambria Math"/>
          </w:rPr>
          <m:t>T(y,</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 xml:space="preserve"> and </w:t>
      </w:r>
      <m:oMath>
        <m:r>
          <w:rPr>
            <w:rFonts w:ascii="Cambria Math" w:hAnsi="Cambria Math"/>
          </w:rPr>
          <m:t>T(</m:t>
        </m:r>
        <m:sSup>
          <m:sSupPr>
            <m:ctrlPr>
              <w:rPr>
                <w:rFonts w:ascii="Cambria Math" w:hAnsi="Cambria Math"/>
                <w:i/>
              </w:rPr>
            </m:ctrlPr>
          </m:sSupPr>
          <m:e>
            <m:r>
              <w:rPr>
                <w:rFonts w:ascii="Cambria Math" w:hAnsi="Cambria Math"/>
              </w:rPr>
              <m:t>y</m:t>
            </m:r>
          </m:e>
          <m:sup>
            <m:r>
              <w:rPr>
                <w:rFonts w:ascii="Cambria Math" w:hAnsi="Cambria Math"/>
              </w:rPr>
              <m:t>rep</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 xml:space="preserve"> , and count the number of </w:t>
      </w:r>
      <m:oMath>
        <m:r>
          <w:rPr>
            <w:rFonts w:ascii="Cambria Math" w:hAnsi="Cambria Math"/>
          </w:rPr>
          <m:t>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&gt;T(</m:t>
        </m:r>
        <m:sSup>
          <m:sSupPr>
            <m:ctrlPr>
              <w:rPr>
                <w:rFonts w:ascii="Cambria Math" w:hAnsi="Cambria Math"/>
                <w:i/>
              </w:rPr>
            </m:ctrlPr>
          </m:sSupPr>
          <m:e>
            <m:r>
              <w:rPr>
                <w:rFonts w:ascii="Cambria Math" w:hAnsi="Cambria Math"/>
              </w:rPr>
              <m:t>y</m:t>
            </m:r>
          </m:e>
          <m:sup>
            <m:r>
              <w:rPr>
                <w:rFonts w:ascii="Cambria Math" w:hAnsi="Cambria Math"/>
              </w:rPr>
              <m:t>rep</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 xml:space="preserve">, say </w:t>
      </w:r>
      <w:r w:rsidRPr="00F84B91">
        <w:rPr>
          <w:i/>
        </w:rPr>
        <w:t>M</w:t>
      </w:r>
      <w:r>
        <w:t>.</w:t>
      </w:r>
    </w:p>
    <w:p w14:paraId="728F775C" w14:textId="77777777" w:rsidR="00E75D02" w:rsidRDefault="00E75D02" w:rsidP="00E75D02">
      <w:pPr>
        <w:pStyle w:val="NoSpacing"/>
        <w:numPr>
          <w:ilvl w:val="0"/>
          <w:numId w:val="5"/>
        </w:numPr>
        <w:ind w:left="1440"/>
      </w:pPr>
      <w:r>
        <w:t xml:space="preserve">The posterior predictive P-value is </w:t>
      </w:r>
      <m:oMath>
        <m:r>
          <w:rPr>
            <w:rFonts w:ascii="Cambria Math" w:hAnsi="Cambria Math"/>
          </w:rPr>
          <m:t>M/L</m:t>
        </m:r>
      </m:oMath>
    </w:p>
    <w:p w14:paraId="04E2F677" w14:textId="77777777" w:rsidR="00E75D02" w:rsidRDefault="00E75D02" w:rsidP="00E75D02">
      <w:pPr>
        <w:pStyle w:val="NoSpacing"/>
        <w:ind w:left="720"/>
      </w:pPr>
      <w:r>
        <w:t xml:space="preserve">A detailed explanation on this procedure can be found in the Chapter of “Model checking and improvement” in </w:t>
      </w:r>
      <w:r w:rsidRPr="00F84B91">
        <w:rPr>
          <w:i/>
        </w:rPr>
        <w:t>Bayesian Data Analysis</w:t>
      </w:r>
      <w:r>
        <w:t xml:space="preserve"> (</w:t>
      </w:r>
      <w:proofErr w:type="spellStart"/>
      <w:r>
        <w:t>Gelman</w:t>
      </w:r>
      <w:proofErr w:type="spellEnd"/>
      <w:r>
        <w:t xml:space="preserve"> et al).</w:t>
      </w:r>
    </w:p>
    <w:p w14:paraId="1215F864" w14:textId="77777777" w:rsidR="00E75D02" w:rsidRDefault="00E75D02" w:rsidP="00AB059D">
      <w:pPr>
        <w:pStyle w:val="NoSpacing"/>
      </w:pPr>
    </w:p>
    <w:p w14:paraId="6FE6E0E7" w14:textId="77777777" w:rsidR="00E75D02" w:rsidRPr="00FB5EF8" w:rsidRDefault="00E75D02" w:rsidP="005E2A5D">
      <w:pPr>
        <w:pStyle w:val="NoSpacing"/>
        <w:numPr>
          <w:ilvl w:val="1"/>
          <w:numId w:val="3"/>
        </w:numPr>
        <w:outlineLvl w:val="1"/>
        <w:rPr>
          <w:b/>
          <w:i/>
        </w:rPr>
      </w:pPr>
      <w:bookmarkStart w:id="16" w:name="_Toc445740020"/>
      <w:r w:rsidRPr="00FB5EF8">
        <w:rPr>
          <w:b/>
          <w:i/>
        </w:rPr>
        <w:t>Model Weight Calculation</w:t>
      </w:r>
      <w:bookmarkEnd w:id="16"/>
    </w:p>
    <w:p w14:paraId="074EF030" w14:textId="77777777" w:rsidR="00E75D02" w:rsidRDefault="00E75D02" w:rsidP="00217DE0">
      <w:pPr>
        <w:pStyle w:val="NoSpacing"/>
        <w:ind w:left="720"/>
      </w:pPr>
    </w:p>
    <w:p w14:paraId="7A61150F" w14:textId="77777777" w:rsidR="00E75D02" w:rsidRDefault="00E75D02" w:rsidP="00217DE0">
      <w:pPr>
        <w:pStyle w:val="NoSpacing"/>
        <w:ind w:left="720"/>
      </w:pPr>
      <w:r>
        <w:t>A model weight is calculated and reported on this page</w:t>
      </w:r>
      <w:r w:rsidR="00AB059D">
        <w:t xml:space="preserve">. For each selected model, the value of </w:t>
      </w:r>
      <m:oMath>
        <m:acc>
          <m:accPr>
            <m:ctrlPr>
              <w:rPr>
                <w:rFonts w:ascii="Cambria Math" w:hAnsi="Cambria Math"/>
                <w:i/>
              </w:rPr>
            </m:ctrlPr>
          </m:accPr>
          <m:e>
            <m:r>
              <w:rPr>
                <w:rFonts w:ascii="Cambria Math" w:hAnsi="Cambria Math"/>
              </w:rPr>
              <m:t>m</m:t>
            </m:r>
          </m:e>
        </m:acc>
      </m:oMath>
      <w:r w:rsidR="00AB059D">
        <w:t xml:space="preserve"> is calculated as follow:</w:t>
      </w:r>
    </w:p>
    <w:p w14:paraId="7971E66B" w14:textId="77777777" w:rsidR="00AB059D" w:rsidRDefault="00AB059D" w:rsidP="00217DE0">
      <w:pPr>
        <w:pStyle w:val="NoSpacing"/>
        <w:ind w:left="720"/>
      </w:pPr>
    </w:p>
    <w:p w14:paraId="21A18E62" w14:textId="77777777" w:rsidR="00AB059D" w:rsidRPr="00AB059D" w:rsidRDefault="0000455A" w:rsidP="00AB059D">
      <w:pPr>
        <w:pStyle w:val="NoSpacing"/>
        <w:ind w:left="720"/>
        <w:rPr>
          <w:rFonts w:ascii="Cambria Math" w:hAnsi="Cambria Math" w:hint="eastAsia"/>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r>
            <m:rPr>
              <m:sty m:val="p"/>
            </m:rPr>
            <w:rPr>
              <w:rFonts w:ascii="Cambria Math" w:hAnsi="Cambria Math"/>
            </w:rPr>
            <m:t>exp⁡[</m:t>
          </m:r>
          <m:sSub>
            <m:sSubPr>
              <m:ctrlPr>
                <w:rPr>
                  <w:rFonts w:ascii="Cambria Math" w:hAnsi="Cambria Math"/>
                  <w:i/>
                  <w:iCs/>
                </w:rPr>
              </m:ctrlPr>
            </m:sSubPr>
            <m:e>
              <m:acc>
                <m:accPr>
                  <m:ctrlPr>
                    <w:rPr>
                      <w:rFonts w:ascii="Cambria Math" w:hAnsi="Cambria Math"/>
                      <w:i/>
                      <w:iCs/>
                    </w:rPr>
                  </m:ctrlPr>
                </m:accPr>
                <m:e>
                  <m:r>
                    <m:rPr>
                      <m:scr m:val="script"/>
                      <m:sty m:val="bi"/>
                    </m:rPr>
                    <w:rPr>
                      <w:rFonts w:ascii="Cambria Math" w:hAnsi="Cambria Math"/>
                    </w:rPr>
                    <m:t>l</m:t>
                  </m:r>
                </m:e>
              </m:acc>
            </m:e>
            <m:sub>
              <m:r>
                <w:rPr>
                  <w:rFonts w:ascii="Cambria Math" w:hAnsi="Cambria Math"/>
                </w:rPr>
                <m:t>j</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j</m:t>
                  </m:r>
                </m:sub>
              </m:sSub>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4DE014A6" w14:textId="77777777" w:rsidR="00AB059D" w:rsidRDefault="00AB059D" w:rsidP="00AB059D">
      <w:pPr>
        <w:pStyle w:val="NoSpacing"/>
        <w:ind w:left="720"/>
        <w:rPr>
          <w:rFonts w:ascii="Cambria Math" w:hAnsi="Cambria Math" w:hint="eastAsia"/>
        </w:rPr>
      </w:pPr>
    </w:p>
    <w:p w14:paraId="28851659" w14:textId="77777777" w:rsidR="00AB059D" w:rsidRDefault="00AB059D" w:rsidP="00AB059D">
      <w:pPr>
        <w:pStyle w:val="NoSpacing"/>
        <w:ind w:left="720"/>
        <w:rPr>
          <w:iCs/>
        </w:rPr>
      </w:pPr>
      <w:r w:rsidRPr="00AB059D">
        <w:t xml:space="preserve">Where </w:t>
      </w:r>
      <m:oMath>
        <m:sSub>
          <m:sSubPr>
            <m:ctrlPr>
              <w:rPr>
                <w:rFonts w:ascii="Cambria Math" w:hAnsi="Cambria Math"/>
                <w:i/>
                <w:iCs/>
              </w:rPr>
            </m:ctrlPr>
          </m:sSubPr>
          <m:e>
            <m:acc>
              <m:accPr>
                <m:ctrlPr>
                  <w:rPr>
                    <w:rFonts w:ascii="Cambria Math" w:hAnsi="Cambria Math"/>
                    <w:i/>
                    <w:iCs/>
                  </w:rPr>
                </m:ctrlPr>
              </m:accPr>
              <m:e>
                <m:r>
                  <m:rPr>
                    <m:scr m:val="script"/>
                    <m:sty m:val="bi"/>
                  </m:rPr>
                  <w:rPr>
                    <w:rFonts w:ascii="Cambria Math" w:hAnsi="Cambria Math"/>
                  </w:rPr>
                  <m:t>l</m:t>
                </m:r>
              </m:e>
            </m:acc>
          </m:e>
          <m:sub>
            <m:r>
              <w:rPr>
                <w:rFonts w:ascii="Cambria Math" w:hAnsi="Cambria Math"/>
              </w:rPr>
              <m:t>j</m:t>
            </m:r>
          </m:sub>
        </m:sSub>
      </m:oMath>
      <w:r>
        <w:rPr>
          <w:iCs/>
        </w:rPr>
        <w:t xml:space="preserve"> is a loglikelihood value using one set of posterior sample of parameter values, </w:t>
      </w:r>
      <m:oMath>
        <m:sSub>
          <m:sSubPr>
            <m:ctrlPr>
              <w:rPr>
                <w:rFonts w:ascii="Cambria Math" w:hAnsi="Cambria Math"/>
                <w:i/>
                <w:iCs/>
              </w:rPr>
            </m:ctrlPr>
          </m:sSubPr>
          <m:e>
            <m:r>
              <w:rPr>
                <w:rFonts w:ascii="Cambria Math" w:hAnsi="Cambria Math"/>
              </w:rPr>
              <m:t>d</m:t>
            </m:r>
          </m:e>
          <m:sub>
            <m:r>
              <w:rPr>
                <w:rFonts w:ascii="Cambria Math" w:hAnsi="Cambria Math"/>
              </w:rPr>
              <m:t>j</m:t>
            </m:r>
          </m:sub>
        </m:sSub>
      </m:oMath>
      <w:r w:rsidR="00FB5EF8">
        <w:rPr>
          <w:iCs/>
        </w:rPr>
        <w:t xml:space="preserve"> is the number of parameters in the jth model, and n is the number of dose groups in the data set. So, the model weight can be calculated as (Wasserman, 2000)</w:t>
      </w:r>
    </w:p>
    <w:p w14:paraId="14B71958" w14:textId="77777777" w:rsidR="00FB5EF8" w:rsidRDefault="00FB5EF8" w:rsidP="00AB059D">
      <w:pPr>
        <w:pStyle w:val="NoSpacing"/>
        <w:ind w:left="720"/>
        <w:rPr>
          <w:iCs/>
        </w:rPr>
      </w:pPr>
    </w:p>
    <w:p w14:paraId="4F54039C" w14:textId="77777777" w:rsidR="00FB5EF8" w:rsidRDefault="00FB5EF8" w:rsidP="00FB5EF8">
      <w:pPr>
        <w:pStyle w:val="NoSpacing"/>
        <w:ind w:left="720"/>
        <w:jc w:val="center"/>
        <w:rPr>
          <w:iCs/>
        </w:rPr>
      </w:pPr>
      <w:r w:rsidRPr="00FB5EF8">
        <w:rPr>
          <w:noProof/>
          <w:lang w:eastAsia="en-US"/>
        </w:rPr>
        <mc:AlternateContent>
          <mc:Choice Requires="wps">
            <w:drawing>
              <wp:inline distT="0" distB="0" distL="0" distR="0" wp14:anchorId="03EFFB2E" wp14:editId="6B09F1BF">
                <wp:extent cx="1879600" cy="444500"/>
                <wp:effectExtent l="0" t="0" r="0" b="0"/>
                <wp:docPr id="8" name="TextBox 7"/>
                <wp:cNvGraphicFramePr/>
                <a:graphic xmlns:a="http://schemas.openxmlformats.org/drawingml/2006/main">
                  <a:graphicData uri="http://schemas.microsoft.com/office/word/2010/wordprocessingShape">
                    <wps:wsp>
                      <wps:cNvSpPr txBox="1"/>
                      <wps:spPr>
                        <a:xfrm>
                          <a:off x="0" y="0"/>
                          <a:ext cx="1879600" cy="444500"/>
                        </a:xfrm>
                        <a:prstGeom prst="rect">
                          <a:avLst/>
                        </a:prstGeom>
                        <a:noFill/>
                      </wps:spPr>
                      <wps:txbx>
                        <w:txbxContent>
                          <w:p w14:paraId="498B9AC6" w14:textId="77777777" w:rsidR="007767E6" w:rsidRPr="00FB5EF8" w:rsidRDefault="0000455A" w:rsidP="00FB5EF8">
                            <w:pPr>
                              <w:pStyle w:val="NormalWeb"/>
                              <w:kinsoku w:val="0"/>
                              <w:overflowPunct w:val="0"/>
                              <w:spacing w:before="0" w:beforeAutospacing="0" w:after="0" w:afterAutospacing="0"/>
                              <w:jc w:val="center"/>
                              <w:textAlignment w:val="baseline"/>
                              <w:rPr>
                                <w:sz w:val="22"/>
                                <w:szCs w:val="22"/>
                              </w:rPr>
                            </w:pPr>
                            <m:oMathPara>
                              <m:oMathParaPr>
                                <m:jc m:val="centerGroup"/>
                              </m:oMathParaPr>
                              <m:oMath>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d>
                                      <m:dPr>
                                        <m:ctrlPr>
                                          <w:rPr>
                                            <w:rFonts w:ascii="Cambria Math" w:eastAsia="MS PGothic" w:hAnsi="Cambria Math" w:cs="+mn-cs"/>
                                            <w:i/>
                                            <w:iCs/>
                                            <w:color w:val="000000"/>
                                            <w:kern w:val="24"/>
                                            <w:sz w:val="22"/>
                                            <w:szCs w:val="22"/>
                                          </w:rPr>
                                        </m:ctrlPr>
                                      </m:dPr>
                                      <m:e>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e>
                                      <m:e>
                                        <m:r>
                                          <w:rPr>
                                            <w:rFonts w:ascii="Cambria Math" w:eastAsia="MS PGothic" w:hAnsi="Cambria Math" w:cs="+mn-cs"/>
                                            <w:color w:val="000000"/>
                                            <w:kern w:val="24"/>
                                            <w:sz w:val="22"/>
                                            <w:szCs w:val="22"/>
                                          </w:rPr>
                                          <m:t>Data</m:t>
                                        </m:r>
                                      </m:e>
                                    </m:d>
                                  </m:e>
                                </m:func>
                                <m:r>
                                  <w:rPr>
                                    <w:rFonts w:ascii="Cambria Math" w:eastAsia="MS PGothic" w:hAnsi="Cambria Math" w:cs="+mn-cs"/>
                                    <w:color w:val="000000"/>
                                    <w:kern w:val="24"/>
                                    <w:sz w:val="22"/>
                                    <w:szCs w:val="22"/>
                                  </w:rPr>
                                  <m:t>=</m:t>
                                </m:r>
                                <m:f>
                                  <m:fPr>
                                    <m:ctrlPr>
                                      <w:rPr>
                                        <w:rFonts w:ascii="Cambria Math" w:eastAsia="MS PGothic" w:hAnsi="Cambria Math" w:cs="+mn-cs"/>
                                        <w:i/>
                                        <w:iCs/>
                                        <w:color w:val="000000"/>
                                        <w:kern w:val="24"/>
                                        <w:sz w:val="22"/>
                                        <w:szCs w:val="22"/>
                                      </w:rPr>
                                    </m:ctrlPr>
                                  </m:fPr>
                                  <m:num>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j</m:t>
                                        </m:r>
                                      </m:sub>
                                    </m:sSub>
                                  </m:num>
                                  <m:den>
                                    <m:nary>
                                      <m:naryPr>
                                        <m:chr m:val="∑"/>
                                        <m:limLoc m:val="subSup"/>
                                        <m:ctrlPr>
                                          <w:rPr>
                                            <w:rFonts w:ascii="Cambria Math" w:eastAsia="MS PGothic" w:hAnsi="Cambria Math" w:cs="+mn-cs"/>
                                            <w:i/>
                                            <w:iCs/>
                                            <w:color w:val="000000"/>
                                            <w:kern w:val="24"/>
                                            <w:sz w:val="22"/>
                                            <w:szCs w:val="22"/>
                                          </w:rPr>
                                        </m:ctrlPr>
                                      </m:naryPr>
                                      <m:sub>
                                        <m:r>
                                          <w:rPr>
                                            <w:rFonts w:ascii="Cambria Math" w:eastAsia="MS PGothic" w:hAnsi="Cambria Math" w:cs="+mn-cs"/>
                                            <w:color w:val="000000"/>
                                            <w:kern w:val="24"/>
                                            <w:sz w:val="22"/>
                                            <w:szCs w:val="22"/>
                                          </w:rPr>
                                          <m:t>t=1</m:t>
                                        </m:r>
                                      </m:sub>
                                      <m:sup>
                                        <m:r>
                                          <w:rPr>
                                            <w:rFonts w:ascii="Cambria Math" w:eastAsia="MS PGothic" w:hAnsi="Cambria Math" w:cs="+mn-cs"/>
                                            <w:color w:val="000000"/>
                                            <w:kern w:val="24"/>
                                            <w:sz w:val="22"/>
                                            <w:szCs w:val="22"/>
                                          </w:rPr>
                                          <m:t>T</m:t>
                                        </m:r>
                                      </m:sup>
                                      <m:e>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t</m:t>
                                            </m:r>
                                          </m:sub>
                                        </m:sSub>
                                      </m:e>
                                    </m:nary>
                                  </m:den>
                                </m:f>
                              </m:oMath>
                            </m:oMathPara>
                          </w:p>
                        </w:txbxContent>
                      </wps:txbx>
                      <wps:bodyPr wrap="square" lIns="0" tIns="0" rIns="0" bIns="0" rtlCol="0">
                        <a:spAutoFit/>
                      </wps:bodyPr>
                    </wps:wsp>
                  </a:graphicData>
                </a:graphic>
              </wp:inline>
            </w:drawing>
          </mc:Choice>
          <mc:Fallback>
            <w:pict>
              <v:shapetype w14:anchorId="03EFFB2E" id="_x0000_t202" coordsize="21600,21600" o:spt="202" path="m,l,21600r21600,l21600,xe">
                <v:stroke joinstyle="miter"/>
                <v:path gradientshapeok="t" o:connecttype="rect"/>
              </v:shapetype>
              <v:shape id="TextBox 7" o:spid="_x0000_s1026" type="#_x0000_t202" style="width:14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" filled="f" stroked="f">
                <v:textbox style="mso-fit-shape-to-text:t" inset="0,0,0,0">
                  <w:txbxContent>
                    <w:p w14:paraId="498B9AC6" w14:textId="77777777" w:rsidR="007767E6" w:rsidRPr="00FB5EF8" w:rsidRDefault="007767E6" w:rsidP="00FB5EF8">
                      <w:pPr>
                        <w:pStyle w:val="NormalWeb"/>
                        <w:kinsoku w:val="0"/>
                        <w:overflowPunct w:val="0"/>
                        <w:spacing w:before="0" w:beforeAutospacing="0" w:after="0" w:afterAutospacing="0"/>
                        <w:jc w:val="center"/>
                        <w:textAlignment w:val="baseline"/>
                        <w:rPr>
                          <w:sz w:val="22"/>
                          <w:szCs w:val="22"/>
                        </w:rPr>
                      </w:pPr>
                      <m:oMathPara>
                        <m:oMathParaPr>
                          <m:jc m:val="centerGroup"/>
                        </m:oMathParaPr>
                        <m:oMath>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d>
                                <m:dPr>
                                  <m:ctrlPr>
                                    <w:rPr>
                                      <w:rFonts w:ascii="Cambria Math" w:eastAsia="MS PGothic" w:hAnsi="Cambria Math" w:cs="+mn-cs"/>
                                      <w:i/>
                                      <w:iCs/>
                                      <w:color w:val="000000"/>
                                      <w:kern w:val="24"/>
                                      <w:sz w:val="22"/>
                                      <w:szCs w:val="22"/>
                                    </w:rPr>
                                  </m:ctrlPr>
                                </m:dPr>
                                <m:e>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e>
                                <m:e>
                                  <m:r>
                                    <w:rPr>
                                      <w:rFonts w:ascii="Cambria Math" w:eastAsia="MS PGothic" w:hAnsi="Cambria Math" w:cs="+mn-cs"/>
                                      <w:color w:val="000000"/>
                                      <w:kern w:val="24"/>
                                      <w:sz w:val="22"/>
                                      <w:szCs w:val="22"/>
                                    </w:rPr>
                                    <m:t>Data</m:t>
                                  </m:r>
                                </m:e>
                              </m:d>
                            </m:e>
                          </m:func>
                          <m:r>
                            <w:rPr>
                              <w:rFonts w:ascii="Cambria Math" w:eastAsia="MS PGothic" w:hAnsi="Cambria Math" w:cs="+mn-cs"/>
                              <w:color w:val="000000"/>
                              <w:kern w:val="24"/>
                              <w:sz w:val="22"/>
                              <w:szCs w:val="22"/>
                            </w:rPr>
                            <m:t>=</m:t>
                          </m:r>
                          <m:f>
                            <m:fPr>
                              <m:ctrlPr>
                                <w:rPr>
                                  <w:rFonts w:ascii="Cambria Math" w:eastAsia="MS PGothic" w:hAnsi="Cambria Math" w:cs="+mn-cs"/>
                                  <w:i/>
                                  <w:iCs/>
                                  <w:color w:val="000000"/>
                                  <w:kern w:val="24"/>
                                  <w:sz w:val="22"/>
                                  <w:szCs w:val="22"/>
                                </w:rPr>
                              </m:ctrlPr>
                            </m:fPr>
                            <m:num>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j</m:t>
                                  </m:r>
                                </m:sub>
                              </m:sSub>
                            </m:num>
                            <m:den>
                              <m:nary>
                                <m:naryPr>
                                  <m:chr m:val="∑"/>
                                  <m:limLoc m:val="subSup"/>
                                  <m:ctrlPr>
                                    <w:rPr>
                                      <w:rFonts w:ascii="Cambria Math" w:eastAsia="MS PGothic" w:hAnsi="Cambria Math" w:cs="+mn-cs"/>
                                      <w:i/>
                                      <w:iCs/>
                                      <w:color w:val="000000"/>
                                      <w:kern w:val="24"/>
                                      <w:sz w:val="22"/>
                                      <w:szCs w:val="22"/>
                                    </w:rPr>
                                  </m:ctrlPr>
                                </m:naryPr>
                                <m:sub>
                                  <m:r>
                                    <w:rPr>
                                      <w:rFonts w:ascii="Cambria Math" w:eastAsia="MS PGothic" w:hAnsi="Cambria Math" w:cs="+mn-cs"/>
                                      <w:color w:val="000000"/>
                                      <w:kern w:val="24"/>
                                      <w:sz w:val="22"/>
                                      <w:szCs w:val="22"/>
                                    </w:rPr>
                                    <m:t>t=1</m:t>
                                  </m:r>
                                </m:sub>
                                <m:sup>
                                  <m:r>
                                    <w:rPr>
                                      <w:rFonts w:ascii="Cambria Math" w:eastAsia="MS PGothic" w:hAnsi="Cambria Math" w:cs="+mn-cs"/>
                                      <w:color w:val="000000"/>
                                      <w:kern w:val="24"/>
                                      <w:sz w:val="22"/>
                                      <w:szCs w:val="22"/>
                                    </w:rPr>
                                    <m:t>T</m:t>
                                  </m:r>
                                </m:sup>
                                <m:e>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t</m:t>
                                      </m:r>
                                    </m:sub>
                                  </m:sSub>
                                </m:e>
                              </m:nary>
                            </m:den>
                          </m:f>
                        </m:oMath>
                      </m:oMathPara>
                    </w:p>
                  </w:txbxContent>
                </v:textbox>
                <w10:anchorlock/>
              </v:shape>
            </w:pict>
          </mc:Fallback>
        </mc:AlternateContent>
      </w:r>
    </w:p>
    <w:p w14:paraId="651B4BD0" w14:textId="77777777" w:rsidR="00FB5EF8" w:rsidRDefault="00FB5EF8" w:rsidP="00AB059D">
      <w:pPr>
        <w:pStyle w:val="NoSpacing"/>
        <w:ind w:left="720"/>
      </w:pPr>
    </w:p>
    <w:p w14:paraId="63386A17" w14:textId="77777777" w:rsidR="00FB5EF8" w:rsidRDefault="00FB5EF8" w:rsidP="00AB059D">
      <w:pPr>
        <w:pStyle w:val="NoSpacing"/>
        <w:ind w:left="720"/>
      </w:pPr>
      <w:r>
        <w:t xml:space="preserve">This function assumes that equal model priors for all models selected, so the weight mainly indicates how well the model fit the data. To make the weight more reliable, we used </w:t>
      </w:r>
      <w:r w:rsidR="00283728">
        <w:t>1000 sets of randomly selected posterior sample of model parameters to calculate the model weights. And the averaged model values are reported.</w:t>
      </w:r>
    </w:p>
    <w:p w14:paraId="064AD40B" w14:textId="77777777" w:rsidR="00283728" w:rsidRDefault="00283728" w:rsidP="00283728">
      <w:pPr>
        <w:pStyle w:val="NoSpacing"/>
      </w:pPr>
    </w:p>
    <w:p w14:paraId="7FB55BBF" w14:textId="77777777" w:rsidR="00283728" w:rsidRPr="002F27B9" w:rsidRDefault="00283728" w:rsidP="005E2A5D">
      <w:pPr>
        <w:pStyle w:val="NoSpacing"/>
        <w:numPr>
          <w:ilvl w:val="1"/>
          <w:numId w:val="3"/>
        </w:numPr>
        <w:outlineLvl w:val="1"/>
        <w:rPr>
          <w:b/>
          <w:i/>
        </w:rPr>
      </w:pPr>
      <w:bookmarkStart w:id="17" w:name="_Toc445740021"/>
      <w:r w:rsidRPr="002F27B9">
        <w:rPr>
          <w:b/>
          <w:i/>
        </w:rPr>
        <w:t>Other features</w:t>
      </w:r>
      <w:bookmarkEnd w:id="17"/>
    </w:p>
    <w:p w14:paraId="6B8D9F9A" w14:textId="77777777" w:rsidR="00283728" w:rsidRDefault="00283728" w:rsidP="00283728">
      <w:pPr>
        <w:pStyle w:val="NoSpacing"/>
        <w:ind w:left="720"/>
      </w:pPr>
    </w:p>
    <w:p w14:paraId="3330C278" w14:textId="77777777" w:rsidR="00283728" w:rsidRDefault="00283728" w:rsidP="00283728">
      <w:pPr>
        <w:pStyle w:val="NoSpacing"/>
        <w:ind w:left="720"/>
      </w:pPr>
      <w:r>
        <w:t>Correlation matrix of the model parameters are calculated and reported.</w:t>
      </w:r>
    </w:p>
    <w:p w14:paraId="70A1423E" w14:textId="77777777" w:rsidR="00283728" w:rsidRDefault="00283728" w:rsidP="00283728">
      <w:pPr>
        <w:pStyle w:val="NoSpacing"/>
        <w:ind w:left="720"/>
      </w:pPr>
    </w:p>
    <w:p w14:paraId="75773DC1" w14:textId="77777777" w:rsidR="00283728" w:rsidRDefault="00283728" w:rsidP="00283728">
      <w:pPr>
        <w:pStyle w:val="NoSpacing"/>
        <w:ind w:left="720"/>
      </w:pPr>
      <w:r>
        <w:t xml:space="preserve">In addition, </w:t>
      </w:r>
      <w:r w:rsidR="007A0CDF">
        <w:t>a</w:t>
      </w:r>
      <w:r>
        <w:t xml:space="preserve"> </w:t>
      </w:r>
      <w:r w:rsidR="007A0CDF">
        <w:t>trace plot of the MCMC sample of the model parameters and a histogram plot with fitted density curve are also displayed.</w:t>
      </w:r>
    </w:p>
    <w:p w14:paraId="7A89116B" w14:textId="77777777" w:rsidR="007A0CDF" w:rsidRDefault="007A0CDF" w:rsidP="007A0CDF">
      <w:pPr>
        <w:pStyle w:val="NoSpacing"/>
        <w:ind w:left="720"/>
      </w:pPr>
      <w:r>
        <w:t>[</w:t>
      </w:r>
      <w:r w:rsidRPr="00650CF7">
        <w:rPr>
          <w:b/>
          <w:u w:val="single"/>
        </w:rPr>
        <w:t>Attention</w:t>
      </w:r>
      <w:r w:rsidRPr="00AC3876">
        <w:rPr>
          <w:b/>
        </w:rPr>
        <w:t>:</w:t>
      </w:r>
      <w:r>
        <w:rPr>
          <w:b/>
        </w:rPr>
        <w:t xml:space="preserve"> </w:t>
      </w:r>
      <w:r>
        <w:t xml:space="preserve">Because the trace plots are very data intense, it may cause delay and </w:t>
      </w:r>
      <w:r w:rsidRPr="007A0CDF">
        <w:t>stagnation</w:t>
      </w:r>
      <w:r>
        <w:t xml:space="preserve"> of the webpage.]</w:t>
      </w:r>
    </w:p>
    <w:p w14:paraId="776E1CE5" w14:textId="77777777" w:rsidR="007A0CDF" w:rsidRDefault="007A0CDF" w:rsidP="007A0CDF">
      <w:pPr>
        <w:pStyle w:val="NoSpacing"/>
        <w:ind w:left="720"/>
      </w:pPr>
    </w:p>
    <w:p w14:paraId="5657741A" w14:textId="77777777" w:rsidR="007A0CDF" w:rsidRDefault="007A0CDF" w:rsidP="00283728">
      <w:pPr>
        <w:pStyle w:val="NoSpacing"/>
        <w:ind w:left="720"/>
      </w:pPr>
    </w:p>
    <w:p w14:paraId="740DED79" w14:textId="77777777" w:rsidR="00283728" w:rsidRPr="00AB059D" w:rsidRDefault="00283728" w:rsidP="00283728">
      <w:pPr>
        <w:pStyle w:val="NoSpacing"/>
      </w:pPr>
    </w:p>
    <w:p w14:paraId="555C279A" w14:textId="77777777" w:rsidR="00E40E1D" w:rsidRDefault="00E40E1D" w:rsidP="00217DE0">
      <w:pPr>
        <w:pStyle w:val="NoSpacing"/>
        <w:ind w:left="720"/>
      </w:pPr>
    </w:p>
    <w:p w14:paraId="4B682778" w14:textId="77777777" w:rsidR="0027531D" w:rsidRDefault="0027531D" w:rsidP="0027531D">
      <w:pPr>
        <w:pStyle w:val="NoSpacing"/>
      </w:pPr>
    </w:p>
    <w:p w14:paraId="75BF0F57" w14:textId="6657731C" w:rsidR="002F27B9" w:rsidRPr="000D782C" w:rsidRDefault="00917CC8" w:rsidP="005E2A5D">
      <w:pPr>
        <w:pStyle w:val="NoSpacing"/>
        <w:numPr>
          <w:ilvl w:val="0"/>
          <w:numId w:val="3"/>
        </w:numPr>
        <w:outlineLvl w:val="0"/>
        <w:rPr>
          <w:b/>
          <w:sz w:val="24"/>
        </w:rPr>
      </w:pPr>
      <w:bookmarkStart w:id="18" w:name="_Toc445740022"/>
      <w:r>
        <w:rPr>
          <w:b/>
          <w:sz w:val="24"/>
        </w:rPr>
        <w:t>BMD</w:t>
      </w:r>
      <w:r w:rsidR="002F27B9" w:rsidRPr="000D782C">
        <w:rPr>
          <w:b/>
          <w:sz w:val="24"/>
        </w:rPr>
        <w:t xml:space="preserve"> </w:t>
      </w:r>
      <w:r>
        <w:rPr>
          <w:b/>
          <w:sz w:val="24"/>
        </w:rPr>
        <w:t>Estimates</w:t>
      </w:r>
      <w:bookmarkEnd w:id="18"/>
    </w:p>
    <w:p w14:paraId="3DBC7A43" w14:textId="77777777" w:rsidR="0058171D" w:rsidRDefault="0058171D" w:rsidP="0058171D">
      <w:pPr>
        <w:pStyle w:val="NoSpacing"/>
        <w:ind w:left="720"/>
      </w:pPr>
    </w:p>
    <w:p w14:paraId="02AB2759" w14:textId="43E7E97D" w:rsidR="0058171D" w:rsidRDefault="0058171D" w:rsidP="0058171D">
      <w:pPr>
        <w:pStyle w:val="NoSpacing"/>
        <w:ind w:left="720"/>
      </w:pPr>
      <w:r>
        <w:t xml:space="preserve">On this page, you can calculate the BMD estimates of your interest. </w:t>
      </w:r>
    </w:p>
    <w:p w14:paraId="35AF3A32" w14:textId="77777777" w:rsidR="006C2539" w:rsidRDefault="006C2539" w:rsidP="0058171D">
      <w:pPr>
        <w:pStyle w:val="NoSpacing"/>
        <w:ind w:left="720"/>
      </w:pPr>
    </w:p>
    <w:p w14:paraId="3E6F167D" w14:textId="77777777" w:rsidR="006C2539" w:rsidRDefault="006C2539" w:rsidP="006C2539">
      <w:pPr>
        <w:pStyle w:val="NoSpacing"/>
        <w:ind w:left="720"/>
      </w:pPr>
      <w:r>
        <w:t>After clicking “Add new BMD”, you will be able to specify some inputs for BMD calculation on the right panel.</w:t>
      </w:r>
    </w:p>
    <w:p w14:paraId="46BE84B7" w14:textId="77777777" w:rsidR="006C2539" w:rsidRDefault="006C2539" w:rsidP="006C2539">
      <w:pPr>
        <w:pStyle w:val="NoSpacing"/>
        <w:numPr>
          <w:ilvl w:val="0"/>
          <w:numId w:val="6"/>
        </w:numPr>
      </w:pPr>
      <w:r>
        <w:t>“BMR Name”: You may make your BMD analysis profile’s name identifiable, for example “BMR10% - unequal prior”.</w:t>
      </w:r>
    </w:p>
    <w:p w14:paraId="15F62904" w14:textId="77777777" w:rsidR="006C2539" w:rsidRDefault="006C2539" w:rsidP="006C2539">
      <w:pPr>
        <w:pStyle w:val="NoSpacing"/>
        <w:numPr>
          <w:ilvl w:val="0"/>
          <w:numId w:val="6"/>
        </w:numPr>
      </w:pPr>
      <w:r>
        <w:t>“BMR Value”: specify your BMR value, this should be a value between 0 and 1.</w:t>
      </w:r>
    </w:p>
    <w:p w14:paraId="1F902B56" w14:textId="77777777" w:rsidR="006C2539" w:rsidRDefault="006C2539" w:rsidP="006C2539">
      <w:pPr>
        <w:pStyle w:val="NoSpacing"/>
        <w:numPr>
          <w:ilvl w:val="0"/>
          <w:numId w:val="6"/>
        </w:numPr>
      </w:pPr>
      <w:r>
        <w:t xml:space="preserve">“Model-weight priors”: specify your model priors. By default, your selected models have an equal prior assigned automatically. If equal prior is used, then the posterior weight will be same as the model weight reported in the “Fit results” tab. The sum of the prior weights is not required to be 1, the software will calculate the correct prior model weights based on the values you input. </w:t>
      </w:r>
    </w:p>
    <w:p w14:paraId="78DB5483" w14:textId="77777777" w:rsidR="006C2539" w:rsidRDefault="006C2539" w:rsidP="006C2539">
      <w:pPr>
        <w:pStyle w:val="NoSpacing"/>
        <w:numPr>
          <w:ilvl w:val="0"/>
          <w:numId w:val="6"/>
        </w:numPr>
      </w:pPr>
      <w:r>
        <w:t>Once you finish specifying all the values, click “Create” the BMD Analysis profile will be saved.</w:t>
      </w:r>
    </w:p>
    <w:p w14:paraId="1E585985" w14:textId="08103FCE" w:rsidR="006C2539" w:rsidRDefault="006C2539" w:rsidP="006C2539">
      <w:pPr>
        <w:pStyle w:val="NoSpacing"/>
        <w:numPr>
          <w:ilvl w:val="0"/>
          <w:numId w:val="6"/>
        </w:numPr>
      </w:pPr>
      <w:r>
        <w:t>By clicking the name of the newly created BMD Analysis profile on the left panel, the estimated results are shown on the right panel, including the distribution density plots of the model averaged BMD and single model BMD, and table with summary statistics for BMD and model weight. BMD calculated using both extra risk and added risk definitions are reported.</w:t>
      </w:r>
    </w:p>
    <w:p w14:paraId="32F544F7" w14:textId="77777777" w:rsidR="00917CC8" w:rsidRDefault="00917CC8" w:rsidP="0058171D">
      <w:pPr>
        <w:pStyle w:val="NoSpacing"/>
        <w:ind w:left="720"/>
      </w:pPr>
    </w:p>
    <w:p w14:paraId="0663886F" w14:textId="64586E91" w:rsidR="00917CC8" w:rsidRPr="00917CC8" w:rsidRDefault="00917CC8" w:rsidP="00917CC8">
      <w:pPr>
        <w:pStyle w:val="NoSpacing"/>
        <w:numPr>
          <w:ilvl w:val="1"/>
          <w:numId w:val="3"/>
        </w:numPr>
        <w:outlineLvl w:val="1"/>
        <w:rPr>
          <w:b/>
          <w:i/>
        </w:rPr>
      </w:pPr>
      <w:bookmarkStart w:id="19" w:name="_Toc445740023"/>
      <w:r>
        <w:rPr>
          <w:b/>
          <w:i/>
        </w:rPr>
        <w:t>BMD calculation for dichotomous data</w:t>
      </w:r>
      <w:bookmarkEnd w:id="19"/>
    </w:p>
    <w:p w14:paraId="7B112DFC" w14:textId="77777777" w:rsidR="0058171D" w:rsidRDefault="0058171D" w:rsidP="0058171D">
      <w:pPr>
        <w:pStyle w:val="NoSpacing"/>
        <w:ind w:left="720"/>
      </w:pPr>
    </w:p>
    <w:p w14:paraId="4A743389" w14:textId="2D7E5746" w:rsidR="00CA218F" w:rsidRDefault="006C2539" w:rsidP="00CA218F">
      <w:pPr>
        <w:pStyle w:val="NoSpacing"/>
        <w:ind w:left="720"/>
      </w:pPr>
      <w:r>
        <w:t xml:space="preserve">For dichotomous data, the BMD </w:t>
      </w:r>
      <w:r w:rsidR="00CA218F">
        <w:t xml:space="preserve">will be </w:t>
      </w:r>
      <w:r>
        <w:t xml:space="preserve">calculated </w:t>
      </w:r>
      <w:r w:rsidR="00CA218F">
        <w:t xml:space="preserve">for both the </w:t>
      </w:r>
      <w:r>
        <w:t xml:space="preserve">added BMR </w:t>
      </w:r>
      <w:r w:rsidR="00CA218F">
        <w:t xml:space="preserve">definition </w:t>
      </w:r>
      <w:r>
        <w:t xml:space="preserve">and </w:t>
      </w:r>
      <w:r w:rsidR="00CA218F">
        <w:t xml:space="preserve">the </w:t>
      </w:r>
      <w:r>
        <w:t>extra BMR</w:t>
      </w:r>
      <w:r w:rsidR="00CA218F">
        <w:t xml:space="preserve"> definition. The BMDs are defined by the following equations:</w:t>
      </w:r>
    </w:p>
    <w:p w14:paraId="043559F9" w14:textId="77777777" w:rsidR="009D1426" w:rsidRDefault="009D1426" w:rsidP="00CA218F">
      <w:pPr>
        <w:pStyle w:val="NoSpacing"/>
        <w:ind w:left="720"/>
      </w:pPr>
    </w:p>
    <w:p w14:paraId="3F294665" w14:textId="51844BC1" w:rsidR="00CA218F" w:rsidRDefault="00CA218F" w:rsidP="00CA218F">
      <w:pPr>
        <w:pStyle w:val="NoSpacing"/>
        <w:ind w:left="720"/>
      </w:pPr>
      <w:r>
        <w:t>Added risk:</w:t>
      </w:r>
    </w:p>
    <w:p w14:paraId="62E6F650" w14:textId="7A456585" w:rsidR="00CA218F" w:rsidRDefault="00CA218F" w:rsidP="00CA218F">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BMD</m:t>
              </m:r>
            </m:e>
          </m:d>
          <m:r>
            <w:rPr>
              <w:rFonts w:ascii="Cambria Math" w:hAnsi="Cambria Math"/>
            </w:rPr>
            <m:t>-f(0)=BMR</m:t>
          </m:r>
        </m:oMath>
      </m:oMathPara>
    </w:p>
    <w:p w14:paraId="77544E78" w14:textId="77777777" w:rsidR="00CA218F" w:rsidRDefault="00CA218F" w:rsidP="0058171D">
      <w:pPr>
        <w:pStyle w:val="NoSpacing"/>
        <w:ind w:left="720"/>
      </w:pPr>
    </w:p>
    <w:p w14:paraId="2D6D8857" w14:textId="71F9B1BB" w:rsidR="00CA218F" w:rsidRDefault="00CA218F" w:rsidP="0058171D">
      <w:pPr>
        <w:pStyle w:val="NoSpacing"/>
        <w:ind w:left="720"/>
      </w:pPr>
      <w:r>
        <w:t>Extra risk:</w:t>
      </w:r>
    </w:p>
    <w:p w14:paraId="5354A98F" w14:textId="4C096355" w:rsidR="00CA218F" w:rsidRDefault="0000455A" w:rsidP="0058171D">
      <w:pPr>
        <w:pStyle w:val="NoSpacing"/>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BMD</m:t>
                  </m:r>
                </m:e>
              </m:d>
              <m:r>
                <w:rPr>
                  <w:rFonts w:ascii="Cambria Math" w:hAnsi="Cambria Math"/>
                </w:rPr>
                <m:t>-f(0)</m:t>
              </m:r>
            </m:num>
            <m:den>
              <m:r>
                <w:rPr>
                  <w:rFonts w:ascii="Cambria Math" w:hAnsi="Cambria Math"/>
                </w:rPr>
                <m:t>1-f(0)</m:t>
              </m:r>
            </m:den>
          </m:f>
          <m:r>
            <w:rPr>
              <w:rFonts w:ascii="Cambria Math" w:hAnsi="Cambria Math"/>
            </w:rPr>
            <m:t>=BMR</m:t>
          </m:r>
        </m:oMath>
      </m:oMathPara>
    </w:p>
    <w:p w14:paraId="14ED5B19" w14:textId="77777777" w:rsidR="00CA218F" w:rsidRDefault="00CA218F" w:rsidP="0058171D">
      <w:pPr>
        <w:pStyle w:val="NoSpacing"/>
        <w:ind w:left="720"/>
      </w:pPr>
    </w:p>
    <w:p w14:paraId="090D3414" w14:textId="69CBB70C" w:rsidR="009D1426" w:rsidRPr="00917CC8" w:rsidRDefault="009D1426" w:rsidP="009D1426">
      <w:pPr>
        <w:pStyle w:val="NoSpacing"/>
        <w:numPr>
          <w:ilvl w:val="1"/>
          <w:numId w:val="3"/>
        </w:numPr>
        <w:outlineLvl w:val="1"/>
        <w:rPr>
          <w:b/>
          <w:i/>
        </w:rPr>
      </w:pPr>
      <w:bookmarkStart w:id="20" w:name="_Toc445740024"/>
      <w:r>
        <w:rPr>
          <w:b/>
          <w:i/>
        </w:rPr>
        <w:t>BMD calculation for continuous data</w:t>
      </w:r>
      <w:bookmarkEnd w:id="20"/>
    </w:p>
    <w:p w14:paraId="01D1B6A4" w14:textId="77777777" w:rsidR="009D1426" w:rsidRDefault="009D1426" w:rsidP="009D1426">
      <w:pPr>
        <w:pStyle w:val="NoSpacing"/>
        <w:ind w:left="720"/>
      </w:pPr>
    </w:p>
    <w:p w14:paraId="5B2144ED" w14:textId="3C416BB2" w:rsidR="009D1426" w:rsidRDefault="009D1426" w:rsidP="009D1426">
      <w:pPr>
        <w:pStyle w:val="NoSpacing"/>
        <w:ind w:left="720"/>
      </w:pPr>
      <w:r>
        <w:t xml:space="preserve">There are two different </w:t>
      </w:r>
      <w:r w:rsidR="00AF7454">
        <w:t xml:space="preserve">methods for </w:t>
      </w:r>
      <w:r>
        <w:t xml:space="preserve">BMD </w:t>
      </w:r>
      <w:r w:rsidR="00AF7454">
        <w:t xml:space="preserve">estimation for </w:t>
      </w:r>
      <w:r>
        <w:t>continuous data: (1) based on central tendency; (2) based on tails (i.e., the Hybrid method)</w:t>
      </w:r>
    </w:p>
    <w:p w14:paraId="34CD5432" w14:textId="77777777" w:rsidR="00AF7454" w:rsidRDefault="00AF7454" w:rsidP="009D1426">
      <w:pPr>
        <w:pStyle w:val="NoSpacing"/>
        <w:ind w:left="720"/>
      </w:pPr>
    </w:p>
    <w:p w14:paraId="4423D569" w14:textId="2EA65E3D" w:rsidR="00AF7454" w:rsidRDefault="00AF7454" w:rsidP="009D1426">
      <w:pPr>
        <w:pStyle w:val="NoSpacing"/>
        <w:ind w:left="720"/>
      </w:pPr>
      <w:r>
        <w:t>If user chooses to use central tendency to estimate BMD, then user needs to select a way to specify an adversity. There are three options:</w:t>
      </w:r>
    </w:p>
    <w:p w14:paraId="00754A0C" w14:textId="77777777" w:rsidR="00AF7454" w:rsidRDefault="00AF7454" w:rsidP="009D1426">
      <w:pPr>
        <w:pStyle w:val="NoSpacing"/>
        <w:ind w:left="720"/>
      </w:pPr>
    </w:p>
    <w:p w14:paraId="3F7A26A0" w14:textId="65D6D1D9" w:rsidR="00AF7454" w:rsidRDefault="00AF7454" w:rsidP="00AF7454">
      <w:pPr>
        <w:pStyle w:val="NoSpacing"/>
        <w:numPr>
          <w:ilvl w:val="0"/>
          <w:numId w:val="10"/>
        </w:numPr>
      </w:pPr>
      <w:r>
        <w:t xml:space="preserve">Relative change: </w:t>
      </w:r>
    </w:p>
    <w:p w14:paraId="7C51B42B" w14:textId="4C61064E" w:rsidR="00AF7454" w:rsidRDefault="00AF7454" w:rsidP="00AF7454">
      <w:pPr>
        <w:pStyle w:val="NoSpacing"/>
        <w:ind w:left="1080"/>
      </w:pPr>
      <w:r>
        <w:t xml:space="preserve">For this option, user need to input a value of relative change, e.g., 20%. This means that if the central tendency changes 20% from the control, it will be considered as adverse and </w:t>
      </w:r>
      <w:r w:rsidR="00DD7B87">
        <w:t xml:space="preserve">the </w:t>
      </w:r>
      <w:r>
        <w:t>BMD will be calculated accordingly, using the following equation:</w:t>
      </w:r>
    </w:p>
    <w:p w14:paraId="3371E4EF" w14:textId="77777777" w:rsidR="00AF7454" w:rsidRDefault="00AF7454" w:rsidP="00AF7454">
      <w:pPr>
        <w:pStyle w:val="NoSpacing"/>
        <w:ind w:left="1080"/>
      </w:pPr>
    </w:p>
    <w:p w14:paraId="1055D0B6" w14:textId="7127AE7B" w:rsidR="00AF7454" w:rsidRPr="00DD7B87" w:rsidRDefault="00AF7454" w:rsidP="00AF7454">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BMD</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=Relative Change ×f(0)</m:t>
          </m:r>
        </m:oMath>
      </m:oMathPara>
    </w:p>
    <w:p w14:paraId="1A5D9408" w14:textId="77777777" w:rsidR="00DD7B87" w:rsidRDefault="00DD7B87" w:rsidP="00AF7454">
      <w:pPr>
        <w:pStyle w:val="NoSpacing"/>
        <w:ind w:left="720"/>
      </w:pPr>
    </w:p>
    <w:p w14:paraId="1177323B" w14:textId="77777777" w:rsidR="00DD7B87" w:rsidRDefault="00DD7B87" w:rsidP="00DD7B87">
      <w:pPr>
        <w:pStyle w:val="NoSpacing"/>
        <w:ind w:left="1080"/>
      </w:pPr>
      <w:r>
        <w:lastRenderedPageBreak/>
        <w:t>The plus/minus sign on the left-hand side is related to the dose-response trend, if increasing, then it is “+”, otherwise it is “-”.</w:t>
      </w:r>
    </w:p>
    <w:p w14:paraId="2C5D7985" w14:textId="77777777" w:rsidR="00DD7B87" w:rsidRDefault="00DD7B87" w:rsidP="00DD7B87">
      <w:pPr>
        <w:pStyle w:val="NoSpacing"/>
        <w:ind w:left="1080"/>
      </w:pPr>
    </w:p>
    <w:p w14:paraId="05FC22A0" w14:textId="77777777" w:rsidR="00DD7B87" w:rsidRDefault="00DD7B87" w:rsidP="00DD7B87">
      <w:pPr>
        <w:pStyle w:val="NoSpacing"/>
        <w:numPr>
          <w:ilvl w:val="0"/>
          <w:numId w:val="10"/>
        </w:numPr>
      </w:pPr>
      <w:r>
        <w:t>Absolution change:</w:t>
      </w:r>
    </w:p>
    <w:p w14:paraId="28D9BE83" w14:textId="60826D2F" w:rsidR="00DD7B87" w:rsidRDefault="00DD7B87" w:rsidP="00DD7B87">
      <w:pPr>
        <w:pStyle w:val="NoSpacing"/>
        <w:ind w:left="1080"/>
      </w:pPr>
      <w:r>
        <w:t>For this option, user need to input a value of absolute change, e.g., 3.2. This means that if the central tendency changes 3.2 from the control, it will be considered as adverse and the BMD will be calculated accordingly, using the following equation:</w:t>
      </w:r>
    </w:p>
    <w:p w14:paraId="413BB601" w14:textId="77777777" w:rsidR="00DD7B87" w:rsidRDefault="00DD7B87" w:rsidP="00DD7B87">
      <w:pPr>
        <w:pStyle w:val="NoSpacing"/>
        <w:ind w:left="1080"/>
      </w:pPr>
    </w:p>
    <w:p w14:paraId="4DACE699" w14:textId="41E7C468" w:rsidR="00DD7B87" w:rsidRPr="00DD7B87" w:rsidRDefault="00DD7B87" w:rsidP="00DD7B87">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±Absolute Change=f(BMD)</m:t>
          </m:r>
        </m:oMath>
      </m:oMathPara>
    </w:p>
    <w:p w14:paraId="52DA965E" w14:textId="77777777" w:rsidR="00DD7B87" w:rsidRDefault="00DD7B87" w:rsidP="00DD7B87">
      <w:pPr>
        <w:pStyle w:val="NoSpacing"/>
        <w:ind w:left="1080"/>
      </w:pPr>
    </w:p>
    <w:p w14:paraId="456BC7BE" w14:textId="77777777" w:rsidR="00DD7B87" w:rsidRDefault="00DD7B87" w:rsidP="00DD7B87">
      <w:pPr>
        <w:pStyle w:val="NoSpacing"/>
        <w:ind w:left="1080"/>
      </w:pPr>
      <w:r>
        <w:t>The plus/minus sign on the left-hand side is related to the dose-response trend, if increasing, then it is “+”, otherwise it is “-”.</w:t>
      </w:r>
    </w:p>
    <w:p w14:paraId="714A6260" w14:textId="77777777" w:rsidR="00DD7B87" w:rsidRDefault="00DD7B87" w:rsidP="00DD7B87">
      <w:pPr>
        <w:pStyle w:val="NoSpacing"/>
        <w:ind w:left="1080"/>
      </w:pPr>
    </w:p>
    <w:p w14:paraId="229210E9" w14:textId="15E11B3B" w:rsidR="00DD7B87" w:rsidRDefault="00DD7B87" w:rsidP="00DD7B87">
      <w:pPr>
        <w:pStyle w:val="NoSpacing"/>
        <w:numPr>
          <w:ilvl w:val="0"/>
          <w:numId w:val="10"/>
        </w:numPr>
      </w:pPr>
      <w:r>
        <w:t>Cutoff:</w:t>
      </w:r>
    </w:p>
    <w:p w14:paraId="589F7949" w14:textId="43B5AA05" w:rsidR="00DD7B87" w:rsidRDefault="00DD7B87" w:rsidP="00DD7B87">
      <w:pPr>
        <w:pStyle w:val="NoSpacing"/>
        <w:ind w:left="1080"/>
      </w:pPr>
      <w:r>
        <w:t>For this option, user need to input a value of cutoff, e.g., 22.5. This means that if the central tendency is equal to the cutoff value specified, it will be considered as adverse and the BMD will be calculated accordingly, using the following equation:</w:t>
      </w:r>
    </w:p>
    <w:p w14:paraId="78FCB9A9" w14:textId="77777777" w:rsidR="00DD7B87" w:rsidRDefault="00DD7B87" w:rsidP="00DD7B87">
      <w:pPr>
        <w:pStyle w:val="NoSpacing"/>
        <w:ind w:left="1080"/>
      </w:pPr>
    </w:p>
    <w:p w14:paraId="126B87ED" w14:textId="788D19B2" w:rsidR="00DD7B87" w:rsidRPr="00DD7B87" w:rsidRDefault="00DD7B87" w:rsidP="00DD7B87">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BMD</m:t>
              </m:r>
            </m:e>
          </m:d>
          <m:r>
            <w:rPr>
              <w:rFonts w:ascii="Cambria Math" w:hAnsi="Cambria Math"/>
            </w:rPr>
            <m:t>=cutoff</m:t>
          </m:r>
        </m:oMath>
      </m:oMathPara>
    </w:p>
    <w:p w14:paraId="424A4891" w14:textId="77777777" w:rsidR="00DD7B87" w:rsidRDefault="00DD7B87" w:rsidP="00DD7B87">
      <w:pPr>
        <w:pStyle w:val="NoSpacing"/>
        <w:ind w:left="1080"/>
      </w:pPr>
    </w:p>
    <w:p w14:paraId="36CEC8BB" w14:textId="1C8FA3E2" w:rsidR="00DD7B87" w:rsidRDefault="00DD7B87" w:rsidP="00DD7B87">
      <w:pPr>
        <w:pStyle w:val="NoSpacing"/>
        <w:ind w:left="1080"/>
      </w:pPr>
      <w:r>
        <w:t>The allowable range for the cutoff value will be a</w:t>
      </w:r>
      <w:r w:rsidR="0079724E">
        <w:t>utomatically calculated based on the trend of the dose-response data and shown to user.</w:t>
      </w:r>
    </w:p>
    <w:p w14:paraId="0C3D311E" w14:textId="77777777" w:rsidR="00DD7B87" w:rsidRDefault="00DD7B87" w:rsidP="00DD7B87">
      <w:pPr>
        <w:pStyle w:val="NoSpacing"/>
        <w:ind w:left="1080"/>
      </w:pPr>
    </w:p>
    <w:p w14:paraId="790E8DCE" w14:textId="77777777" w:rsidR="000D7CAC" w:rsidRDefault="000D7CAC" w:rsidP="00DD7B87">
      <w:pPr>
        <w:pStyle w:val="NoSpacing"/>
        <w:ind w:left="1080"/>
      </w:pPr>
    </w:p>
    <w:p w14:paraId="43A7E41C" w14:textId="232C14FB" w:rsidR="000D7CAC" w:rsidRDefault="000D7CAC" w:rsidP="000D7CAC">
      <w:pPr>
        <w:pStyle w:val="NoSpacing"/>
        <w:ind w:left="720"/>
      </w:pPr>
      <w:r>
        <w:t xml:space="preserve">If user chooses to use the hybrid approach to estimate the BMD, user need to first specify an adversity value and then input a BMR value. There are two ways to specify the adversity, either </w:t>
      </w:r>
      <w:r w:rsidR="00940475">
        <w:t>specifying</w:t>
      </w:r>
      <w:r>
        <w:t xml:space="preserve"> a cutoff value (i.e., depending on increasing or decreasing dose-response trend, above or below a value will be considered as adverse)</w:t>
      </w:r>
      <w:r w:rsidR="00940475">
        <w:t xml:space="preserve"> or using a percentile value of the control (e.g., the below 1</w:t>
      </w:r>
      <w:r w:rsidR="00940475" w:rsidRPr="00940475">
        <w:rPr>
          <w:vertAlign w:val="superscript"/>
        </w:rPr>
        <w:t>st</w:t>
      </w:r>
      <w:r w:rsidR="00940475">
        <w:t xml:space="preserve"> percentile or above 99</w:t>
      </w:r>
      <w:r w:rsidR="00940475" w:rsidRPr="00940475">
        <w:rPr>
          <w:vertAlign w:val="superscript"/>
        </w:rPr>
        <w:t>th</w:t>
      </w:r>
      <w:r w:rsidR="00940475">
        <w:t xml:space="preserve"> percentile of the control distribution is considered as adverse depending on decreasing or increasing)</w:t>
      </w:r>
      <w:r w:rsidR="00CE6AF1">
        <w:t>.</w:t>
      </w:r>
      <w:r w:rsidR="00142699">
        <w:t xml:space="preserve"> Let’s use </w:t>
      </w:r>
      <m:oMath>
        <m:r>
          <w:rPr>
            <w:rFonts w:ascii="Cambria Math" w:hAnsi="Cambria Math"/>
          </w:rPr>
          <m:t>Q(0)</m:t>
        </m:r>
      </m:oMath>
      <w:r w:rsidR="00142699">
        <w:t xml:space="preserve"> to represent the quantile of the adversity value at control dose and use </w:t>
      </w:r>
      <m:oMath>
        <m:r>
          <w:rPr>
            <w:rFonts w:ascii="Cambria Math" w:hAnsi="Cambria Math"/>
          </w:rPr>
          <m:t>Q(BMD)</m:t>
        </m:r>
      </m:oMath>
      <w:r w:rsidR="00142699">
        <w:t xml:space="preserve"> to represent the quantile of the adversity value at the BMD level, then the following equation should be satisfied:</w:t>
      </w:r>
    </w:p>
    <w:p w14:paraId="5D58651E" w14:textId="77777777" w:rsidR="00142699" w:rsidRDefault="00142699" w:rsidP="000D7CAC">
      <w:pPr>
        <w:pStyle w:val="NoSpacing"/>
        <w:ind w:left="720"/>
      </w:pPr>
    </w:p>
    <w:p w14:paraId="32CF554F" w14:textId="6D54B21E" w:rsidR="00031AF7" w:rsidRDefault="00031AF7" w:rsidP="000D7CAC">
      <w:pPr>
        <w:pStyle w:val="NoSpacing"/>
        <w:ind w:left="720"/>
      </w:pPr>
      <w:r>
        <w:t>For increasing trend</w:t>
      </w:r>
    </w:p>
    <w:p w14:paraId="06F2FC8D" w14:textId="77777777" w:rsidR="00031AF7" w:rsidRDefault="00031AF7" w:rsidP="000D7CAC">
      <w:pPr>
        <w:pStyle w:val="NoSpacing"/>
        <w:ind w:left="720"/>
      </w:pPr>
    </w:p>
    <w:p w14:paraId="48F6771E" w14:textId="0766D4A5" w:rsidR="00601E79" w:rsidRDefault="00601E79" w:rsidP="00601E79">
      <w:pPr>
        <w:pStyle w:val="NoSpacing"/>
        <w:ind w:left="720"/>
        <w:jc w:val="center"/>
      </w:pPr>
      <m:oMath>
        <m:r>
          <w:rPr>
            <w:rFonts w:ascii="Cambria Math" w:hAnsi="Cambria Math"/>
          </w:rPr>
          <m:t>Q</m:t>
        </m:r>
        <m:d>
          <m:dPr>
            <m:ctrlPr>
              <w:rPr>
                <w:rFonts w:ascii="Cambria Math" w:hAnsi="Cambria Math"/>
                <w:i/>
              </w:rPr>
            </m:ctrlPr>
          </m:dPr>
          <m:e>
            <m:r>
              <w:rPr>
                <w:rFonts w:ascii="Cambria Math" w:hAnsi="Cambria Math"/>
              </w:rPr>
              <m:t>0</m:t>
            </m:r>
          </m:e>
        </m:d>
        <m:r>
          <w:rPr>
            <w:rFonts w:ascii="Cambria Math" w:hAnsi="Cambria Math"/>
          </w:rPr>
          <m:t>-Q(BMD)=BMR</m:t>
        </m:r>
      </m:oMath>
      <w:r>
        <w:t xml:space="preserve">  for added risk</w:t>
      </w:r>
    </w:p>
    <w:p w14:paraId="2FD3A676" w14:textId="77777777" w:rsidR="00031AF7" w:rsidRDefault="00031AF7" w:rsidP="00601E79">
      <w:pPr>
        <w:pStyle w:val="NoSpacing"/>
        <w:ind w:left="720"/>
        <w:jc w:val="center"/>
      </w:pPr>
    </w:p>
    <w:p w14:paraId="2EDEAE5B" w14:textId="1EA760A7" w:rsidR="00031AF7" w:rsidRDefault="0000455A" w:rsidP="00031AF7">
      <w:pPr>
        <w:pStyle w:val="NoSpacing"/>
        <w:ind w:left="720"/>
        <w:jc w:val="center"/>
      </w:pPr>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0</m:t>
                </m:r>
              </m:e>
            </m:d>
            <m:r>
              <w:rPr>
                <w:rFonts w:ascii="Cambria Math" w:hAnsi="Cambria Math"/>
              </w:rPr>
              <m:t>-Q(BMD)</m:t>
            </m:r>
          </m:num>
          <m:den>
            <m:r>
              <w:rPr>
                <w:rFonts w:ascii="Cambria Math" w:hAnsi="Cambria Math"/>
              </w:rPr>
              <m:t>1-Q(0)</m:t>
            </m:r>
          </m:den>
        </m:f>
        <m:r>
          <w:rPr>
            <w:rFonts w:ascii="Cambria Math" w:hAnsi="Cambria Math"/>
          </w:rPr>
          <m:t>=BMR</m:t>
        </m:r>
      </m:oMath>
      <w:r w:rsidR="00031AF7">
        <w:t xml:space="preserve">  for extra risk</w:t>
      </w:r>
    </w:p>
    <w:p w14:paraId="5BF3B11E" w14:textId="77777777" w:rsidR="00031AF7" w:rsidRDefault="00031AF7" w:rsidP="00601E79">
      <w:pPr>
        <w:pStyle w:val="NoSpacing"/>
        <w:ind w:left="720"/>
        <w:jc w:val="center"/>
      </w:pPr>
    </w:p>
    <w:p w14:paraId="373F0015" w14:textId="69C9FB0F" w:rsidR="00031AF7" w:rsidRDefault="00031AF7" w:rsidP="00BC54A8">
      <w:pPr>
        <w:pStyle w:val="NoSpacing"/>
        <w:ind w:left="720"/>
      </w:pPr>
      <w:r>
        <w:t>For decreasing trend</w:t>
      </w:r>
    </w:p>
    <w:p w14:paraId="46EECE61" w14:textId="77777777" w:rsidR="00601E79" w:rsidRDefault="00601E79" w:rsidP="00601E79">
      <w:pPr>
        <w:pStyle w:val="NoSpacing"/>
        <w:ind w:left="720"/>
      </w:pPr>
    </w:p>
    <w:p w14:paraId="5270357B" w14:textId="00BC7C4D" w:rsidR="00601E79" w:rsidRDefault="00601E79" w:rsidP="00601E79">
      <w:pPr>
        <w:pStyle w:val="NoSpacing"/>
        <w:ind w:left="720"/>
        <w:jc w:val="center"/>
      </w:pPr>
      <m:oMath>
        <m:r>
          <w:rPr>
            <w:rFonts w:ascii="Cambria Math" w:hAnsi="Cambria Math"/>
          </w:rPr>
          <m:t>Q</m:t>
        </m:r>
        <m:d>
          <m:dPr>
            <m:ctrlPr>
              <w:rPr>
                <w:rFonts w:ascii="Cambria Math" w:hAnsi="Cambria Math"/>
                <w:i/>
              </w:rPr>
            </m:ctrlPr>
          </m:dPr>
          <m:e>
            <m:r>
              <w:rPr>
                <w:rFonts w:ascii="Cambria Math" w:hAnsi="Cambria Math"/>
              </w:rPr>
              <m:t>BMD</m:t>
            </m:r>
          </m:e>
        </m:d>
        <m:r>
          <w:rPr>
            <w:rFonts w:ascii="Cambria Math" w:hAnsi="Cambria Math"/>
          </w:rPr>
          <m:t>-Q(0)=BMR</m:t>
        </m:r>
      </m:oMath>
      <w:r w:rsidR="00A50C42">
        <w:t xml:space="preserve">  for added</w:t>
      </w:r>
      <w:r>
        <w:t xml:space="preserve"> risk</w:t>
      </w:r>
    </w:p>
    <w:p w14:paraId="741D6EEF" w14:textId="77777777" w:rsidR="00601E79" w:rsidRDefault="00601E79" w:rsidP="00601E79">
      <w:pPr>
        <w:pStyle w:val="NoSpacing"/>
        <w:ind w:left="720"/>
        <w:jc w:val="center"/>
      </w:pPr>
    </w:p>
    <w:p w14:paraId="2187F9C9" w14:textId="2E20CD27" w:rsidR="00A50C42" w:rsidRDefault="0000455A" w:rsidP="00A50C42">
      <w:pPr>
        <w:pStyle w:val="NoSpacing"/>
        <w:ind w:left="720"/>
        <w:jc w:val="center"/>
      </w:pPr>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BMD</m:t>
                </m:r>
              </m:e>
            </m:d>
            <m:r>
              <w:rPr>
                <w:rFonts w:ascii="Cambria Math" w:hAnsi="Cambria Math"/>
              </w:rPr>
              <m:t>-Q(0)</m:t>
            </m:r>
          </m:num>
          <m:den>
            <m:r>
              <w:rPr>
                <w:rFonts w:ascii="Cambria Math" w:hAnsi="Cambria Math"/>
              </w:rPr>
              <m:t>Q(0)</m:t>
            </m:r>
          </m:den>
        </m:f>
        <m:r>
          <w:rPr>
            <w:rFonts w:ascii="Cambria Math" w:hAnsi="Cambria Math"/>
          </w:rPr>
          <m:t>=BMR</m:t>
        </m:r>
      </m:oMath>
      <w:r w:rsidR="00A50C42">
        <w:t xml:space="preserve">  for extra risk</w:t>
      </w:r>
    </w:p>
    <w:p w14:paraId="743527A9" w14:textId="39324FF6" w:rsidR="00A34876" w:rsidRPr="009D1426" w:rsidRDefault="00A34876" w:rsidP="0027531D">
      <w:pPr>
        <w:pStyle w:val="NoSpacing"/>
      </w:pPr>
    </w:p>
    <w:p w14:paraId="257101BF" w14:textId="77777777" w:rsidR="009D1426" w:rsidRPr="009D1426" w:rsidRDefault="009D1426" w:rsidP="0027531D">
      <w:pPr>
        <w:pStyle w:val="NoSpacing"/>
      </w:pPr>
    </w:p>
    <w:p w14:paraId="363F626D" w14:textId="77777777" w:rsidR="00B32F88" w:rsidRPr="00BE0C12" w:rsidRDefault="00B32F88" w:rsidP="005E2A5D">
      <w:pPr>
        <w:pStyle w:val="NoSpacing"/>
        <w:numPr>
          <w:ilvl w:val="1"/>
          <w:numId w:val="3"/>
        </w:numPr>
        <w:outlineLvl w:val="1"/>
        <w:rPr>
          <w:b/>
          <w:i/>
        </w:rPr>
      </w:pPr>
      <w:bookmarkStart w:id="21" w:name="_Toc445740025"/>
      <w:r w:rsidRPr="00BE0C12">
        <w:rPr>
          <w:b/>
          <w:i/>
        </w:rPr>
        <w:lastRenderedPageBreak/>
        <w:t>Posterior model weight calculation</w:t>
      </w:r>
      <w:bookmarkEnd w:id="21"/>
    </w:p>
    <w:p w14:paraId="38AFB5F5" w14:textId="77777777" w:rsidR="00A34876" w:rsidRDefault="00A34876" w:rsidP="00A34876">
      <w:pPr>
        <w:pStyle w:val="NoSpacing"/>
        <w:ind w:left="720"/>
      </w:pPr>
    </w:p>
    <w:p w14:paraId="47E440FC" w14:textId="77777777" w:rsidR="00A34876" w:rsidRDefault="00A34876" w:rsidP="00A34876">
      <w:pPr>
        <w:pStyle w:val="NoSpacing"/>
        <w:ind w:left="720"/>
      </w:pPr>
      <w:r>
        <w:t xml:space="preserve">In this step, the prior model weight specified by users will be used in the posterior model weight calculation. The function is shown below. The </w:t>
      </w:r>
      <m:oMath>
        <m:acc>
          <m:accPr>
            <m:ctrlPr>
              <w:rPr>
                <w:rFonts w:ascii="Cambria Math" w:hAnsi="Cambria Math"/>
                <w:i/>
              </w:rPr>
            </m:ctrlPr>
          </m:accPr>
          <m:e>
            <m:r>
              <w:rPr>
                <w:rFonts w:ascii="Cambria Math" w:hAnsi="Cambria Math"/>
              </w:rPr>
              <m:t>m</m:t>
            </m:r>
          </m:e>
        </m:acc>
      </m:oMath>
      <w:r>
        <w:t xml:space="preserve"> for each model is calculated using the </w:t>
      </w:r>
      <w:r w:rsidR="004030CC">
        <w:t xml:space="preserve">same </w:t>
      </w:r>
      <w:r>
        <w:t xml:space="preserve">procedure described in Section 6.4. </w:t>
      </w:r>
    </w:p>
    <w:p w14:paraId="1A9DDA3E" w14:textId="77777777" w:rsidR="00B32F88" w:rsidRDefault="00B32F88" w:rsidP="00B32F88">
      <w:pPr>
        <w:pStyle w:val="NoSpacing"/>
        <w:ind w:left="720"/>
      </w:pPr>
    </w:p>
    <w:p w14:paraId="34CA3612" w14:textId="77777777" w:rsidR="00A34876" w:rsidRDefault="00A34876" w:rsidP="00A34876">
      <w:pPr>
        <w:pStyle w:val="NoSpacing"/>
        <w:ind w:left="720"/>
        <w:jc w:val="center"/>
      </w:pPr>
      <w:r w:rsidRPr="00FB5EF8">
        <w:rPr>
          <w:noProof/>
          <w:lang w:eastAsia="en-US"/>
        </w:rPr>
        <mc:AlternateContent>
          <mc:Choice Requires="wps">
            <w:drawing>
              <wp:inline distT="0" distB="0" distL="0" distR="0" wp14:anchorId="5FCE4D04" wp14:editId="0B87AB7C">
                <wp:extent cx="2131695" cy="406400"/>
                <wp:effectExtent l="0" t="0" r="0" b="0"/>
                <wp:docPr id="1" name="TextBox 7"/>
                <wp:cNvGraphicFramePr/>
                <a:graphic xmlns:a="http://schemas.openxmlformats.org/drawingml/2006/main">
                  <a:graphicData uri="http://schemas.microsoft.com/office/word/2010/wordprocessingShape">
                    <wps:wsp>
                      <wps:cNvSpPr txBox="1"/>
                      <wps:spPr>
                        <a:xfrm>
                          <a:off x="0" y="0"/>
                          <a:ext cx="2131695" cy="406400"/>
                        </a:xfrm>
                        <a:prstGeom prst="rect">
                          <a:avLst/>
                        </a:prstGeom>
                        <a:noFill/>
                      </wps:spPr>
                      <wps:txbx>
                        <w:txbxContent>
                          <w:p w14:paraId="7FD384C9" w14:textId="77777777" w:rsidR="007767E6" w:rsidRPr="00FB5EF8" w:rsidRDefault="0000455A" w:rsidP="00A34876">
                            <w:pPr>
                              <w:pStyle w:val="NormalWeb"/>
                              <w:kinsoku w:val="0"/>
                              <w:overflowPunct w:val="0"/>
                              <w:spacing w:before="0" w:beforeAutospacing="0" w:after="0" w:afterAutospacing="0"/>
                              <w:jc w:val="center"/>
                              <w:textAlignment w:val="baseline"/>
                              <w:rPr>
                                <w:sz w:val="22"/>
                                <w:szCs w:val="22"/>
                              </w:rPr>
                            </w:pPr>
                            <m:oMathPara>
                              <m:oMathParaPr>
                                <m:jc m:val="centerGroup"/>
                              </m:oMathParaPr>
                              <m:oMath>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d>
                                      <m:dPr>
                                        <m:ctrlPr>
                                          <w:rPr>
                                            <w:rFonts w:ascii="Cambria Math" w:eastAsia="MS PGothic" w:hAnsi="Cambria Math" w:cs="+mn-cs"/>
                                            <w:i/>
                                            <w:iCs/>
                                            <w:color w:val="000000"/>
                                            <w:kern w:val="24"/>
                                            <w:sz w:val="22"/>
                                            <w:szCs w:val="22"/>
                                          </w:rPr>
                                        </m:ctrlPr>
                                      </m:dPr>
                                      <m:e>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e>
                                      <m:e>
                                        <m:r>
                                          <w:rPr>
                                            <w:rFonts w:ascii="Cambria Math" w:eastAsia="MS PGothic" w:hAnsi="Cambria Math" w:cs="+mn-cs"/>
                                            <w:color w:val="000000"/>
                                            <w:kern w:val="24"/>
                                            <w:sz w:val="22"/>
                                            <w:szCs w:val="22"/>
                                          </w:rPr>
                                          <m:t>Data</m:t>
                                        </m:r>
                                      </m:e>
                                    </m:d>
                                  </m:e>
                                </m:func>
                                <m:r>
                                  <w:rPr>
                                    <w:rFonts w:ascii="Cambria Math" w:eastAsia="MS PGothic" w:hAnsi="Cambria Math" w:cs="+mn-cs"/>
                                    <w:color w:val="000000"/>
                                    <w:kern w:val="24"/>
                                    <w:sz w:val="22"/>
                                    <w:szCs w:val="22"/>
                                  </w:rPr>
                                  <m:t>=</m:t>
                                </m:r>
                                <m:f>
                                  <m:fPr>
                                    <m:ctrlPr>
                                      <w:rPr>
                                        <w:rFonts w:ascii="Cambria Math" w:eastAsia="MS PGothic" w:hAnsi="Cambria Math" w:cs="+mn-cs"/>
                                        <w:i/>
                                        <w:iCs/>
                                        <w:color w:val="000000"/>
                                        <w:kern w:val="24"/>
                                        <w:sz w:val="22"/>
                                        <w:szCs w:val="22"/>
                                      </w:rPr>
                                    </m:ctrlPr>
                                  </m:fPr>
                                  <m:num>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j</m:t>
                                        </m:r>
                                      </m:sub>
                                    </m:sSub>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r>
                                          <w:rPr>
                                            <w:rFonts w:ascii="Cambria Math" w:eastAsia="MS PGothic" w:hAnsi="Cambria Math" w:cs="+mn-cs"/>
                                            <w:color w:val="000000"/>
                                            <w:kern w:val="24"/>
                                            <w:sz w:val="22"/>
                                            <w:szCs w:val="22"/>
                                          </w:rPr>
                                          <m:t>(</m:t>
                                        </m:r>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r>
                                          <w:rPr>
                                            <w:rFonts w:ascii="Cambria Math" w:eastAsia="MS PGothic" w:hAnsi="Cambria Math" w:cs="+mn-cs"/>
                                            <w:color w:val="000000"/>
                                            <w:kern w:val="24"/>
                                            <w:sz w:val="22"/>
                                            <w:szCs w:val="22"/>
                                          </w:rPr>
                                          <m:t>)</m:t>
                                        </m:r>
                                      </m:e>
                                    </m:func>
                                  </m:num>
                                  <m:den>
                                    <m:nary>
                                      <m:naryPr>
                                        <m:chr m:val="∑"/>
                                        <m:limLoc m:val="subSup"/>
                                        <m:ctrlPr>
                                          <w:rPr>
                                            <w:rFonts w:ascii="Cambria Math" w:eastAsia="MS PGothic" w:hAnsi="Cambria Math" w:cs="+mn-cs"/>
                                            <w:i/>
                                            <w:iCs/>
                                            <w:color w:val="000000"/>
                                            <w:kern w:val="24"/>
                                            <w:sz w:val="22"/>
                                            <w:szCs w:val="22"/>
                                          </w:rPr>
                                        </m:ctrlPr>
                                      </m:naryPr>
                                      <m:sub>
                                        <m:r>
                                          <w:rPr>
                                            <w:rFonts w:ascii="Cambria Math" w:eastAsia="MS PGothic" w:hAnsi="Cambria Math" w:cs="+mn-cs"/>
                                            <w:color w:val="000000"/>
                                            <w:kern w:val="24"/>
                                            <w:sz w:val="22"/>
                                            <w:szCs w:val="22"/>
                                          </w:rPr>
                                          <m:t>t=1</m:t>
                                        </m:r>
                                      </m:sub>
                                      <m:sup>
                                        <m:r>
                                          <w:rPr>
                                            <w:rFonts w:ascii="Cambria Math" w:eastAsia="MS PGothic" w:hAnsi="Cambria Math" w:cs="+mn-cs"/>
                                            <w:color w:val="000000"/>
                                            <w:kern w:val="24"/>
                                            <w:sz w:val="22"/>
                                            <w:szCs w:val="22"/>
                                          </w:rPr>
                                          <m:t>T</m:t>
                                        </m:r>
                                      </m:sup>
                                      <m:e>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t</m:t>
                                            </m:r>
                                          </m:sub>
                                        </m:sSub>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r>
                                              <w:rPr>
                                                <w:rFonts w:ascii="Cambria Math" w:eastAsia="MS PGothic" w:hAnsi="Cambria Math" w:cs="+mn-cs"/>
                                                <w:color w:val="000000"/>
                                                <w:kern w:val="24"/>
                                                <w:sz w:val="22"/>
                                                <w:szCs w:val="22"/>
                                              </w:rPr>
                                              <m:t>(</m:t>
                                            </m:r>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t</m:t>
                                                </m:r>
                                              </m:sub>
                                            </m:sSub>
                                            <m:r>
                                              <w:rPr>
                                                <w:rFonts w:ascii="Cambria Math" w:eastAsia="MS PGothic" w:hAnsi="Cambria Math" w:cs="+mn-cs"/>
                                                <w:color w:val="000000"/>
                                                <w:kern w:val="24"/>
                                                <w:sz w:val="22"/>
                                                <w:szCs w:val="22"/>
                                              </w:rPr>
                                              <m:t>)</m:t>
                                            </m:r>
                                          </m:e>
                                        </m:func>
                                      </m:e>
                                    </m:nary>
                                  </m:den>
                                </m:f>
                              </m:oMath>
                            </m:oMathPara>
                          </w:p>
                        </w:txbxContent>
                      </wps:txbx>
                      <wps:bodyPr wrap="square" lIns="0" tIns="0" rIns="0" bIns="0" rtlCol="0">
                        <a:spAutoFit/>
                      </wps:bodyPr>
                    </wps:wsp>
                  </a:graphicData>
                </a:graphic>
              </wp:inline>
            </w:drawing>
          </mc:Choice>
          <mc:Fallback>
            <w:pict>
              <v:shape w14:anchorId="5FCE4D04" id="_x0000_s1027" type="#_x0000_t202" style="width:167.85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" filled="f" stroked="f">
                <v:textbox style="mso-fit-shape-to-text:t" inset="0,0,0,0">
                  <w:txbxContent>
                    <w:p w14:paraId="7FD384C9" w14:textId="77777777" w:rsidR="007767E6" w:rsidRPr="00FB5EF8" w:rsidRDefault="007767E6" w:rsidP="00A34876">
                      <w:pPr>
                        <w:pStyle w:val="NormalWeb"/>
                        <w:kinsoku w:val="0"/>
                        <w:overflowPunct w:val="0"/>
                        <w:spacing w:before="0" w:beforeAutospacing="0" w:after="0" w:afterAutospacing="0"/>
                        <w:jc w:val="center"/>
                        <w:textAlignment w:val="baseline"/>
                        <w:rPr>
                          <w:sz w:val="22"/>
                          <w:szCs w:val="22"/>
                        </w:rPr>
                      </w:pPr>
                      <m:oMathPara>
                        <m:oMathParaPr>
                          <m:jc m:val="centerGroup"/>
                        </m:oMathParaPr>
                        <m:oMath>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d>
                                <m:dPr>
                                  <m:ctrlPr>
                                    <w:rPr>
                                      <w:rFonts w:ascii="Cambria Math" w:eastAsia="MS PGothic" w:hAnsi="Cambria Math" w:cs="+mn-cs"/>
                                      <w:i/>
                                      <w:iCs/>
                                      <w:color w:val="000000"/>
                                      <w:kern w:val="24"/>
                                      <w:sz w:val="22"/>
                                      <w:szCs w:val="22"/>
                                    </w:rPr>
                                  </m:ctrlPr>
                                </m:dPr>
                                <m:e>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e>
                                <m:e>
                                  <m:r>
                                    <w:rPr>
                                      <w:rFonts w:ascii="Cambria Math" w:eastAsia="MS PGothic" w:hAnsi="Cambria Math" w:cs="+mn-cs"/>
                                      <w:color w:val="000000"/>
                                      <w:kern w:val="24"/>
                                      <w:sz w:val="22"/>
                                      <w:szCs w:val="22"/>
                                    </w:rPr>
                                    <m:t>Data</m:t>
                                  </m:r>
                                </m:e>
                              </m:d>
                            </m:e>
                          </m:func>
                          <m:r>
                            <w:rPr>
                              <w:rFonts w:ascii="Cambria Math" w:eastAsia="MS PGothic" w:hAnsi="Cambria Math" w:cs="+mn-cs"/>
                              <w:color w:val="000000"/>
                              <w:kern w:val="24"/>
                              <w:sz w:val="22"/>
                              <w:szCs w:val="22"/>
                            </w:rPr>
                            <m:t>=</m:t>
                          </m:r>
                          <m:f>
                            <m:fPr>
                              <m:ctrlPr>
                                <w:rPr>
                                  <w:rFonts w:ascii="Cambria Math" w:eastAsia="MS PGothic" w:hAnsi="Cambria Math" w:cs="+mn-cs"/>
                                  <w:i/>
                                  <w:iCs/>
                                  <w:color w:val="000000"/>
                                  <w:kern w:val="24"/>
                                  <w:sz w:val="22"/>
                                  <w:szCs w:val="22"/>
                                </w:rPr>
                              </m:ctrlPr>
                            </m:fPr>
                            <m:num>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j</m:t>
                                  </m:r>
                                </m:sub>
                              </m:sSub>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r>
                                    <w:rPr>
                                      <w:rFonts w:ascii="Cambria Math" w:eastAsia="MS PGothic" w:hAnsi="Cambria Math" w:cs="+mn-cs"/>
                                      <w:color w:val="000000"/>
                                      <w:kern w:val="24"/>
                                      <w:sz w:val="22"/>
                                      <w:szCs w:val="22"/>
                                    </w:rPr>
                                    <m:t>(</m:t>
                                  </m:r>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r>
                                    <w:rPr>
                                      <w:rFonts w:ascii="Cambria Math" w:eastAsia="MS PGothic" w:hAnsi="Cambria Math" w:cs="+mn-cs"/>
                                      <w:color w:val="000000"/>
                                      <w:kern w:val="24"/>
                                      <w:sz w:val="22"/>
                                      <w:szCs w:val="22"/>
                                    </w:rPr>
                                    <m:t>)</m:t>
                                  </m:r>
                                </m:e>
                              </m:func>
                            </m:num>
                            <m:den>
                              <m:nary>
                                <m:naryPr>
                                  <m:chr m:val="∑"/>
                                  <m:limLoc m:val="subSup"/>
                                  <m:ctrlPr>
                                    <w:rPr>
                                      <w:rFonts w:ascii="Cambria Math" w:eastAsia="MS PGothic" w:hAnsi="Cambria Math" w:cs="+mn-cs"/>
                                      <w:i/>
                                      <w:iCs/>
                                      <w:color w:val="000000"/>
                                      <w:kern w:val="24"/>
                                      <w:sz w:val="22"/>
                                      <w:szCs w:val="22"/>
                                    </w:rPr>
                                  </m:ctrlPr>
                                </m:naryPr>
                                <m:sub>
                                  <m:r>
                                    <w:rPr>
                                      <w:rFonts w:ascii="Cambria Math" w:eastAsia="MS PGothic" w:hAnsi="Cambria Math" w:cs="+mn-cs"/>
                                      <w:color w:val="000000"/>
                                      <w:kern w:val="24"/>
                                      <w:sz w:val="22"/>
                                      <w:szCs w:val="22"/>
                                    </w:rPr>
                                    <m:t>t=1</m:t>
                                  </m:r>
                                </m:sub>
                                <m:sup>
                                  <m:r>
                                    <w:rPr>
                                      <w:rFonts w:ascii="Cambria Math" w:eastAsia="MS PGothic" w:hAnsi="Cambria Math" w:cs="+mn-cs"/>
                                      <w:color w:val="000000"/>
                                      <w:kern w:val="24"/>
                                      <w:sz w:val="22"/>
                                      <w:szCs w:val="22"/>
                                    </w:rPr>
                                    <m:t>T</m:t>
                                  </m:r>
                                </m:sup>
                                <m:e>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t</m:t>
                                      </m:r>
                                    </m:sub>
                                  </m:sSub>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r>
                                        <w:rPr>
                                          <w:rFonts w:ascii="Cambria Math" w:eastAsia="MS PGothic" w:hAnsi="Cambria Math" w:cs="+mn-cs"/>
                                          <w:color w:val="000000"/>
                                          <w:kern w:val="24"/>
                                          <w:sz w:val="22"/>
                                          <w:szCs w:val="22"/>
                                        </w:rPr>
                                        <m:t>(</m:t>
                                      </m:r>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t</m:t>
                                          </m:r>
                                        </m:sub>
                                      </m:sSub>
                                      <m:r>
                                        <w:rPr>
                                          <w:rFonts w:ascii="Cambria Math" w:eastAsia="MS PGothic" w:hAnsi="Cambria Math" w:cs="+mn-cs"/>
                                          <w:color w:val="000000"/>
                                          <w:kern w:val="24"/>
                                          <w:sz w:val="22"/>
                                          <w:szCs w:val="22"/>
                                        </w:rPr>
                                        <m:t>)</m:t>
                                      </m:r>
                                    </m:e>
                                  </m:func>
                                </m:e>
                              </m:nary>
                            </m:den>
                          </m:f>
                        </m:oMath>
                      </m:oMathPara>
                    </w:p>
                  </w:txbxContent>
                </v:textbox>
                <w10:anchorlock/>
              </v:shape>
            </w:pict>
          </mc:Fallback>
        </mc:AlternateContent>
      </w:r>
    </w:p>
    <w:p w14:paraId="4C891732" w14:textId="77777777" w:rsidR="00B32F88" w:rsidRDefault="00B32F88" w:rsidP="00B32F88">
      <w:pPr>
        <w:pStyle w:val="NoSpacing"/>
        <w:ind w:left="720"/>
      </w:pPr>
    </w:p>
    <w:p w14:paraId="424BBE05" w14:textId="77777777" w:rsidR="00B32F88" w:rsidRDefault="00A34876" w:rsidP="00B32F88">
      <w:pPr>
        <w:pStyle w:val="NoSpacing"/>
        <w:ind w:left="720"/>
      </w:pPr>
      <w:r>
        <w:t>Based on the function above,</w:t>
      </w:r>
      <w:r w:rsidR="004030CC">
        <w:t xml:space="preserve"> we know that</w:t>
      </w:r>
      <w:r w:rsidR="004030CC" w:rsidRPr="004030CC">
        <w:t xml:space="preserve"> </w:t>
      </w:r>
      <w:r w:rsidR="004030CC">
        <w:t>the posterior weight of a model will be 0 if the prior weight for the</w:t>
      </w:r>
      <w:r>
        <w:t xml:space="preserve"> model </w:t>
      </w:r>
      <w:r w:rsidR="004030CC">
        <w:t xml:space="preserve">is specified </w:t>
      </w:r>
      <w:r>
        <w:t>as 0.</w:t>
      </w:r>
    </w:p>
    <w:p w14:paraId="6EC58C06" w14:textId="77777777" w:rsidR="00A34876" w:rsidRDefault="00A34876" w:rsidP="00B32F88">
      <w:pPr>
        <w:pStyle w:val="NoSpacing"/>
        <w:ind w:left="720"/>
      </w:pPr>
    </w:p>
    <w:p w14:paraId="2B99A397" w14:textId="77777777" w:rsidR="00B32F88" w:rsidRPr="00A5695B" w:rsidRDefault="00B32F88" w:rsidP="005E2A5D">
      <w:pPr>
        <w:pStyle w:val="NoSpacing"/>
        <w:numPr>
          <w:ilvl w:val="1"/>
          <w:numId w:val="3"/>
        </w:numPr>
        <w:outlineLvl w:val="1"/>
        <w:rPr>
          <w:b/>
          <w:i/>
        </w:rPr>
      </w:pPr>
      <w:bookmarkStart w:id="22" w:name="_Toc445740026"/>
      <w:r w:rsidRPr="00A5695B">
        <w:rPr>
          <w:b/>
          <w:i/>
        </w:rPr>
        <w:t>Model Averaged BMD calculation</w:t>
      </w:r>
      <w:bookmarkEnd w:id="22"/>
    </w:p>
    <w:p w14:paraId="4025906D" w14:textId="77777777" w:rsidR="00171425" w:rsidRDefault="00171425" w:rsidP="00171425">
      <w:pPr>
        <w:pStyle w:val="NoSpacing"/>
        <w:ind w:left="720"/>
      </w:pPr>
    </w:p>
    <w:p w14:paraId="7C2284C1" w14:textId="77777777" w:rsidR="00171425" w:rsidRDefault="00171425" w:rsidP="00171425">
      <w:pPr>
        <w:pStyle w:val="NoSpacing"/>
        <w:ind w:left="720"/>
      </w:pPr>
      <w:r>
        <w:t xml:space="preserve">For each </w:t>
      </w:r>
      <w:r w:rsidR="00A5695B">
        <w:t>model, we can have posterior sample of BMD with the same length as the model parameters. Using default value, we should have:</w:t>
      </w:r>
    </w:p>
    <w:p w14:paraId="534BD42D" w14:textId="77777777" w:rsidR="00A5695B" w:rsidRDefault="00A5695B" w:rsidP="00171425">
      <w:pPr>
        <w:pStyle w:val="NoSpacing"/>
        <w:ind w:left="720"/>
      </w:pPr>
    </w:p>
    <w:p w14:paraId="1F17AA20" w14:textId="34E79417" w:rsidR="00A5695B" w:rsidRPr="00F44DED" w:rsidRDefault="0000455A" w:rsidP="00A5695B">
      <w:pPr>
        <w:pStyle w:val="NoSpacing"/>
        <w:ind w:left="720"/>
        <w:jc w:val="center"/>
      </w:pPr>
      <m:oMath>
        <m:sSub>
          <m:sSubPr>
            <m:ctrlPr>
              <w:rPr>
                <w:rFonts w:ascii="Cambria Math" w:hAnsi="Cambria Math"/>
                <w:i/>
              </w:rPr>
            </m:ctrlPr>
          </m:sSubPr>
          <m:e>
            <m:r>
              <w:rPr>
                <w:rFonts w:ascii="Cambria Math" w:hAnsi="Cambria Math"/>
              </w:rPr>
              <m:t>BMD</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BMD</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BMD</m:t>
            </m:r>
          </m:e>
          <m:sub>
            <m:r>
              <w:rPr>
                <w:rFonts w:ascii="Cambria Math" w:hAnsi="Cambria Math"/>
              </w:rPr>
              <m:t>1-30000</m:t>
            </m:r>
          </m:sub>
        </m:sSub>
      </m:oMath>
      <w:r w:rsidR="00A5695B">
        <w:t xml:space="preserve"> for model 1</w:t>
      </w:r>
      <w:r w:rsidR="00077951">
        <w:t xml:space="preserve"> with model weight </w:t>
      </w:r>
      <w:r w:rsidR="00077951" w:rsidRPr="00077951">
        <w:rPr>
          <w:i/>
        </w:rPr>
        <w:t>W</w:t>
      </w:r>
      <w:r w:rsidR="00077951" w:rsidRPr="00077951">
        <w:rPr>
          <w:i/>
          <w:vertAlign w:val="subscript"/>
        </w:rPr>
        <w:t>1</w:t>
      </w:r>
      <w:r w:rsidR="00F44DED">
        <w:rPr>
          <w:i/>
        </w:rPr>
        <w:t xml:space="preserve"> </w:t>
      </w:r>
      <w:r w:rsidR="00F44DED" w:rsidRPr="00F44DED">
        <w:t>(say 50%)</w:t>
      </w:r>
    </w:p>
    <w:p w14:paraId="69E6570D" w14:textId="02E4B5A8" w:rsidR="00A5695B" w:rsidRDefault="0000455A" w:rsidP="00A5695B">
      <w:pPr>
        <w:pStyle w:val="NoSpacing"/>
        <w:ind w:left="720"/>
        <w:jc w:val="center"/>
      </w:pPr>
      <m:oMath>
        <m:sSub>
          <m:sSubPr>
            <m:ctrlPr>
              <w:rPr>
                <w:rFonts w:ascii="Cambria Math" w:hAnsi="Cambria Math"/>
                <w:i/>
              </w:rPr>
            </m:ctrlPr>
          </m:sSubPr>
          <m:e>
            <m:r>
              <w:rPr>
                <w:rFonts w:ascii="Cambria Math" w:hAnsi="Cambria Math"/>
              </w:rPr>
              <m:t>BMD</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BMD</m:t>
            </m:r>
          </m:e>
          <m:sub>
            <m:r>
              <w:rPr>
                <w:rFonts w:ascii="Cambria Math" w:hAnsi="Cambria Math"/>
              </w:rPr>
              <m:t>2-2</m:t>
            </m:r>
          </m:sub>
        </m:sSub>
        <m:r>
          <w:rPr>
            <w:rFonts w:ascii="Cambria Math" w:hAnsi="Cambria Math"/>
          </w:rPr>
          <m:t xml:space="preserve">, …, </m:t>
        </m:r>
        <m:sSub>
          <m:sSubPr>
            <m:ctrlPr>
              <w:rPr>
                <w:rFonts w:ascii="Cambria Math" w:hAnsi="Cambria Math"/>
                <w:i/>
              </w:rPr>
            </m:ctrlPr>
          </m:sSubPr>
          <m:e>
            <m:r>
              <w:rPr>
                <w:rFonts w:ascii="Cambria Math" w:hAnsi="Cambria Math"/>
              </w:rPr>
              <m:t>BMD</m:t>
            </m:r>
          </m:e>
          <m:sub>
            <m:r>
              <w:rPr>
                <w:rFonts w:ascii="Cambria Math" w:hAnsi="Cambria Math"/>
              </w:rPr>
              <m:t>2-30000</m:t>
            </m:r>
          </m:sub>
        </m:sSub>
      </m:oMath>
      <w:r w:rsidR="00A5695B">
        <w:t xml:space="preserve"> for model 2</w:t>
      </w:r>
      <w:r w:rsidR="00077951">
        <w:t xml:space="preserve"> with model weight </w:t>
      </w:r>
      <w:r w:rsidR="00F44DED" w:rsidRPr="00077951">
        <w:rPr>
          <w:i/>
        </w:rPr>
        <w:t>W</w:t>
      </w:r>
      <w:r w:rsidR="00F44DED">
        <w:rPr>
          <w:i/>
          <w:vertAlign w:val="subscript"/>
        </w:rPr>
        <w:t>2</w:t>
      </w:r>
      <w:r w:rsidR="00F44DED">
        <w:rPr>
          <w:i/>
        </w:rPr>
        <w:t xml:space="preserve"> </w:t>
      </w:r>
      <w:r w:rsidR="00F44DED" w:rsidRPr="00F44DED">
        <w:t>(</w:t>
      </w:r>
      <w:r w:rsidR="00F44DED">
        <w:t>say 3</w:t>
      </w:r>
      <w:r w:rsidR="00F44DED" w:rsidRPr="00F44DED">
        <w:t>0%)</w:t>
      </w:r>
    </w:p>
    <w:p w14:paraId="4D0B76C1" w14:textId="78065D57" w:rsidR="00F44DED" w:rsidRPr="00F44DED" w:rsidRDefault="0000455A" w:rsidP="00F44DED">
      <w:pPr>
        <w:pStyle w:val="NoSpacing"/>
        <w:ind w:left="720"/>
        <w:jc w:val="center"/>
      </w:pPr>
      <m:oMath>
        <m:sSub>
          <m:sSubPr>
            <m:ctrlPr>
              <w:rPr>
                <w:rFonts w:ascii="Cambria Math" w:hAnsi="Cambria Math"/>
                <w:i/>
              </w:rPr>
            </m:ctrlPr>
          </m:sSubPr>
          <m:e>
            <m:r>
              <w:rPr>
                <w:rFonts w:ascii="Cambria Math" w:hAnsi="Cambria Math"/>
              </w:rPr>
              <m:t>BMD</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BMD</m:t>
            </m:r>
          </m:e>
          <m:sub>
            <m:r>
              <w:rPr>
                <w:rFonts w:ascii="Cambria Math" w:hAnsi="Cambria Math"/>
              </w:rPr>
              <m:t>3-2</m:t>
            </m:r>
          </m:sub>
        </m:sSub>
        <m:r>
          <w:rPr>
            <w:rFonts w:ascii="Cambria Math" w:hAnsi="Cambria Math"/>
          </w:rPr>
          <m:t xml:space="preserve">, …, </m:t>
        </m:r>
        <m:sSub>
          <m:sSubPr>
            <m:ctrlPr>
              <w:rPr>
                <w:rFonts w:ascii="Cambria Math" w:hAnsi="Cambria Math"/>
                <w:i/>
              </w:rPr>
            </m:ctrlPr>
          </m:sSubPr>
          <m:e>
            <m:r>
              <w:rPr>
                <w:rFonts w:ascii="Cambria Math" w:hAnsi="Cambria Math"/>
              </w:rPr>
              <m:t>BMD</m:t>
            </m:r>
          </m:e>
          <m:sub>
            <m:r>
              <w:rPr>
                <w:rFonts w:ascii="Cambria Math" w:hAnsi="Cambria Math"/>
              </w:rPr>
              <m:t>3-30000</m:t>
            </m:r>
          </m:sub>
        </m:sSub>
      </m:oMath>
      <w:r w:rsidR="00F44DED">
        <w:t xml:space="preserve"> for model 3 with model weight </w:t>
      </w:r>
      <w:r w:rsidR="00F44DED" w:rsidRPr="00077951">
        <w:rPr>
          <w:i/>
        </w:rPr>
        <w:t>W</w:t>
      </w:r>
      <w:r w:rsidR="00F44DED">
        <w:rPr>
          <w:i/>
          <w:vertAlign w:val="subscript"/>
        </w:rPr>
        <w:t>3</w:t>
      </w:r>
      <w:r w:rsidR="00F44DED">
        <w:rPr>
          <w:i/>
        </w:rPr>
        <w:t xml:space="preserve"> </w:t>
      </w:r>
      <w:r w:rsidR="00F44DED" w:rsidRPr="00F44DED">
        <w:t>(</w:t>
      </w:r>
      <w:r w:rsidR="00F44DED">
        <w:t>say 2</w:t>
      </w:r>
      <w:r w:rsidR="00F44DED" w:rsidRPr="00F44DED">
        <w:t>0%)</w:t>
      </w:r>
    </w:p>
    <w:p w14:paraId="23213C1A" w14:textId="77777777" w:rsidR="00F44DED" w:rsidRPr="00F44DED" w:rsidRDefault="00F44DED" w:rsidP="00A5695B">
      <w:pPr>
        <w:pStyle w:val="NoSpacing"/>
        <w:ind w:left="720"/>
        <w:jc w:val="center"/>
      </w:pPr>
    </w:p>
    <w:p w14:paraId="44AB0E41" w14:textId="77777777" w:rsidR="00A5695B" w:rsidRDefault="00A5695B" w:rsidP="00A5695B">
      <w:pPr>
        <w:pStyle w:val="NoSpacing"/>
        <w:ind w:left="720"/>
      </w:pPr>
    </w:p>
    <w:p w14:paraId="714E9C84" w14:textId="77777777" w:rsidR="00A5695B" w:rsidRDefault="00A5695B" w:rsidP="00A5695B">
      <w:pPr>
        <w:pStyle w:val="NoSpacing"/>
        <w:ind w:left="720"/>
      </w:pPr>
      <w:r>
        <w:t>Then, the posterior sample for model averaged BMD is calculated as:</w:t>
      </w:r>
    </w:p>
    <w:p w14:paraId="62E09E4D" w14:textId="77777777" w:rsidR="00077951" w:rsidRDefault="00077951" w:rsidP="00A5695B">
      <w:pPr>
        <w:pStyle w:val="NoSpacing"/>
        <w:ind w:left="720"/>
      </w:pPr>
    </w:p>
    <w:p w14:paraId="3051E4FE" w14:textId="5DE7689E" w:rsidR="00077951" w:rsidRDefault="00077951" w:rsidP="00077951">
      <w:pPr>
        <w:pStyle w:val="NoSpacing"/>
        <w:ind w:left="720" w:right="720"/>
      </w:pPr>
      <w:r>
        <w:t xml:space="preserve">     </w:t>
      </w:r>
      <w:r w:rsidR="00F44DED">
        <w:t>Model 1: 30000*</w:t>
      </w:r>
      <w:r w:rsidR="00F44DED" w:rsidRPr="00F44DED">
        <w:rPr>
          <w:i/>
        </w:rPr>
        <w:t>W</w:t>
      </w:r>
      <w:r w:rsidRPr="00F44DED">
        <w:rPr>
          <w:i/>
          <w:vertAlign w:val="subscript"/>
        </w:rPr>
        <w:t>1</w:t>
      </w:r>
      <w:r w:rsidR="006A35FB">
        <w:t>=3</w:t>
      </w:r>
      <w:r>
        <w:t xml:space="preserve">0000*0.5, so we randomly sample </w:t>
      </w:r>
      <w:r w:rsidR="006A35FB">
        <w:t>1</w:t>
      </w:r>
      <w:r>
        <w:t xml:space="preserve">5000 values from model 1 BMD, i.e., </w:t>
      </w:r>
      <w:r w:rsidR="006A35FB">
        <w:t>1</w:t>
      </w:r>
      <w:r>
        <w:t xml:space="preserve">5000 samples from </w:t>
      </w:r>
      <m:oMath>
        <m:sSub>
          <m:sSubPr>
            <m:ctrlPr>
              <w:rPr>
                <w:rFonts w:ascii="Cambria Math" w:hAnsi="Cambria Math"/>
                <w:i/>
              </w:rPr>
            </m:ctrlPr>
          </m:sSubPr>
          <m:e>
            <m:r>
              <w:rPr>
                <w:rFonts w:ascii="Cambria Math" w:hAnsi="Cambria Math"/>
              </w:rPr>
              <m:t>BMD</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BMD</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BMD</m:t>
            </m:r>
          </m:e>
          <m:sub>
            <m:r>
              <w:rPr>
                <w:rFonts w:ascii="Cambria Math" w:hAnsi="Cambria Math"/>
              </w:rPr>
              <m:t>1-30000</m:t>
            </m:r>
          </m:sub>
        </m:sSub>
      </m:oMath>
      <w:r w:rsidR="006A35FB">
        <w:t>;</w:t>
      </w:r>
    </w:p>
    <w:p w14:paraId="50CAAE87" w14:textId="5BBFE35D" w:rsidR="00077951" w:rsidRDefault="00077951" w:rsidP="00077951">
      <w:pPr>
        <w:pStyle w:val="NoSpacing"/>
        <w:ind w:left="720" w:right="720"/>
      </w:pPr>
      <w:r>
        <w:t xml:space="preserve">     </w:t>
      </w:r>
      <w:r w:rsidR="006A35FB">
        <w:t>Model 2: 3</w:t>
      </w:r>
      <w:r>
        <w:t>0000*</w:t>
      </w:r>
      <w:r w:rsidR="006A35FB" w:rsidRPr="00F44DED">
        <w:rPr>
          <w:i/>
        </w:rPr>
        <w:t>W</w:t>
      </w:r>
      <w:r w:rsidR="006A35FB">
        <w:rPr>
          <w:i/>
          <w:vertAlign w:val="subscript"/>
        </w:rPr>
        <w:t>2</w:t>
      </w:r>
      <w:r w:rsidR="006A35FB">
        <w:t>=3</w:t>
      </w:r>
      <w:r>
        <w:t>0</w:t>
      </w:r>
      <w:r w:rsidR="006A35FB">
        <w:t>000*0.3, so we randomly sample 9</w:t>
      </w:r>
      <w:r>
        <w:t xml:space="preserve">000 values from model </w:t>
      </w:r>
      <w:r w:rsidR="006A35FB">
        <w:t>2 BMD, i.e., 9</w:t>
      </w:r>
      <w:r>
        <w:t xml:space="preserve">000 samples from </w:t>
      </w:r>
      <m:oMath>
        <m:sSub>
          <m:sSubPr>
            <m:ctrlPr>
              <w:rPr>
                <w:rFonts w:ascii="Cambria Math" w:hAnsi="Cambria Math"/>
                <w:i/>
              </w:rPr>
            </m:ctrlPr>
          </m:sSubPr>
          <m:e>
            <m:r>
              <w:rPr>
                <w:rFonts w:ascii="Cambria Math" w:hAnsi="Cambria Math"/>
              </w:rPr>
              <m:t>BMD</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BMD</m:t>
            </m:r>
          </m:e>
          <m:sub>
            <m:r>
              <w:rPr>
                <w:rFonts w:ascii="Cambria Math" w:hAnsi="Cambria Math"/>
              </w:rPr>
              <m:t>2-2</m:t>
            </m:r>
          </m:sub>
        </m:sSub>
        <m:r>
          <w:rPr>
            <w:rFonts w:ascii="Cambria Math" w:hAnsi="Cambria Math"/>
          </w:rPr>
          <m:t xml:space="preserve">, …, </m:t>
        </m:r>
        <m:sSub>
          <m:sSubPr>
            <m:ctrlPr>
              <w:rPr>
                <w:rFonts w:ascii="Cambria Math" w:hAnsi="Cambria Math"/>
                <w:i/>
              </w:rPr>
            </m:ctrlPr>
          </m:sSubPr>
          <m:e>
            <m:r>
              <w:rPr>
                <w:rFonts w:ascii="Cambria Math" w:hAnsi="Cambria Math"/>
              </w:rPr>
              <m:t>BMD</m:t>
            </m:r>
          </m:e>
          <m:sub>
            <m:r>
              <w:rPr>
                <w:rFonts w:ascii="Cambria Math" w:hAnsi="Cambria Math"/>
              </w:rPr>
              <m:t>2-30000</m:t>
            </m:r>
          </m:sub>
        </m:sSub>
      </m:oMath>
      <w:r w:rsidR="006A35FB">
        <w:t>;</w:t>
      </w:r>
    </w:p>
    <w:p w14:paraId="0A964B1C" w14:textId="57C4A344" w:rsidR="00077951" w:rsidRDefault="00077951" w:rsidP="00077951">
      <w:pPr>
        <w:pStyle w:val="NoSpacing"/>
        <w:ind w:left="720" w:right="720"/>
      </w:pPr>
      <w:r>
        <w:t xml:space="preserve">     </w:t>
      </w:r>
      <w:r w:rsidR="006A35FB">
        <w:t>Model 3: 3</w:t>
      </w:r>
      <w:r>
        <w:t>0000*</w:t>
      </w:r>
      <w:r w:rsidR="006A35FB" w:rsidRPr="006A35FB">
        <w:rPr>
          <w:i/>
        </w:rPr>
        <w:t xml:space="preserve"> </w:t>
      </w:r>
      <w:r w:rsidR="006A35FB" w:rsidRPr="00F44DED">
        <w:rPr>
          <w:i/>
        </w:rPr>
        <w:t>W</w:t>
      </w:r>
      <w:r w:rsidR="006A35FB">
        <w:rPr>
          <w:i/>
          <w:vertAlign w:val="subscript"/>
        </w:rPr>
        <w:t>3</w:t>
      </w:r>
      <w:r w:rsidR="006A35FB">
        <w:t>=3</w:t>
      </w:r>
      <w:r>
        <w:t>0</w:t>
      </w:r>
      <w:r w:rsidR="006A35FB">
        <w:t>000*0.2, so we randomly sample 6</w:t>
      </w:r>
      <w:r>
        <w:t xml:space="preserve">000 </w:t>
      </w:r>
      <w:r w:rsidR="006A35FB">
        <w:t>values from model 3 BMD, i.e., 6</w:t>
      </w:r>
      <w:r>
        <w:t xml:space="preserve">000 samples from </w:t>
      </w:r>
      <m:oMath>
        <m:sSub>
          <m:sSubPr>
            <m:ctrlPr>
              <w:rPr>
                <w:rFonts w:ascii="Cambria Math" w:hAnsi="Cambria Math"/>
                <w:i/>
              </w:rPr>
            </m:ctrlPr>
          </m:sSubPr>
          <m:e>
            <m:r>
              <w:rPr>
                <w:rFonts w:ascii="Cambria Math" w:hAnsi="Cambria Math"/>
              </w:rPr>
              <m:t>BMD</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BMD</m:t>
            </m:r>
          </m:e>
          <m:sub>
            <m:r>
              <w:rPr>
                <w:rFonts w:ascii="Cambria Math" w:hAnsi="Cambria Math"/>
              </w:rPr>
              <m:t>3-2</m:t>
            </m:r>
          </m:sub>
        </m:sSub>
        <m:r>
          <w:rPr>
            <w:rFonts w:ascii="Cambria Math" w:hAnsi="Cambria Math"/>
          </w:rPr>
          <m:t xml:space="preserve">, …, </m:t>
        </m:r>
        <m:sSub>
          <m:sSubPr>
            <m:ctrlPr>
              <w:rPr>
                <w:rFonts w:ascii="Cambria Math" w:hAnsi="Cambria Math"/>
                <w:i/>
              </w:rPr>
            </m:ctrlPr>
          </m:sSubPr>
          <m:e>
            <m:r>
              <w:rPr>
                <w:rFonts w:ascii="Cambria Math" w:hAnsi="Cambria Math"/>
              </w:rPr>
              <m:t>BMD</m:t>
            </m:r>
          </m:e>
          <m:sub>
            <m:r>
              <w:rPr>
                <w:rFonts w:ascii="Cambria Math" w:hAnsi="Cambria Math"/>
              </w:rPr>
              <m:t>3-30000</m:t>
            </m:r>
          </m:sub>
        </m:sSub>
      </m:oMath>
    </w:p>
    <w:p w14:paraId="0B9D4050" w14:textId="77777777" w:rsidR="00077951" w:rsidRDefault="00077951" w:rsidP="00077951">
      <w:pPr>
        <w:pStyle w:val="NoSpacing"/>
      </w:pPr>
    </w:p>
    <w:p w14:paraId="42CC3163" w14:textId="109DED7C" w:rsidR="00077951" w:rsidRDefault="00077951" w:rsidP="00144D36">
      <w:pPr>
        <w:pStyle w:val="NoSpacing"/>
        <w:ind w:left="360" w:firstLine="360"/>
      </w:pPr>
      <w:r>
        <w:t xml:space="preserve"> Therefore, fi</w:t>
      </w:r>
      <w:r w:rsidR="006A35FB">
        <w:t>nally we form a new vector of model averaged BMD</w:t>
      </w:r>
      <w:r>
        <w:t xml:space="preserve"> which also has </w:t>
      </w:r>
      <w:r w:rsidR="006A35FB">
        <w:t>3</w:t>
      </w:r>
      <w:r>
        <w:t xml:space="preserve">0,000 values, </w:t>
      </w:r>
      <w:r w:rsidR="006A35FB">
        <w:t>15000 from Model 1, 9000 from Model 2, and 6</w:t>
      </w:r>
      <w:r>
        <w:t>000 from Model 3.</w:t>
      </w:r>
    </w:p>
    <w:p w14:paraId="5E25E815" w14:textId="77777777" w:rsidR="00077951" w:rsidRDefault="00077951" w:rsidP="00A5695B">
      <w:pPr>
        <w:pStyle w:val="NoSpacing"/>
        <w:ind w:left="720"/>
      </w:pPr>
    </w:p>
    <w:p w14:paraId="71F929D9" w14:textId="77777777" w:rsidR="005A35F4" w:rsidRDefault="005A35F4" w:rsidP="00D44EF6">
      <w:pPr>
        <w:pStyle w:val="NoSpacing"/>
      </w:pPr>
    </w:p>
    <w:p w14:paraId="63281220" w14:textId="77777777" w:rsidR="00D44EF6" w:rsidRDefault="00D44EF6" w:rsidP="00D44EF6">
      <w:pPr>
        <w:pStyle w:val="NoSpacing"/>
      </w:pPr>
    </w:p>
    <w:p w14:paraId="134C3C48" w14:textId="77777777" w:rsidR="00D44EF6" w:rsidRPr="00D44EF6" w:rsidRDefault="00D44EF6" w:rsidP="00074173">
      <w:pPr>
        <w:pStyle w:val="NoSpacing"/>
        <w:outlineLvl w:val="0"/>
        <w:rPr>
          <w:b/>
          <w:sz w:val="24"/>
        </w:rPr>
      </w:pPr>
      <w:bookmarkStart w:id="23" w:name="_Toc445740027"/>
      <w:r w:rsidRPr="00D44EF6">
        <w:rPr>
          <w:b/>
          <w:sz w:val="24"/>
        </w:rPr>
        <w:t>References</w:t>
      </w:r>
      <w:bookmarkEnd w:id="23"/>
    </w:p>
    <w:p w14:paraId="6EB143C9" w14:textId="77777777" w:rsidR="00D44EF6" w:rsidRDefault="00D44EF6" w:rsidP="00D44EF6">
      <w:pPr>
        <w:pStyle w:val="NoSpacing"/>
      </w:pPr>
    </w:p>
    <w:p w14:paraId="2182679D" w14:textId="77777777" w:rsidR="00D44EF6" w:rsidRDefault="00D44EF6" w:rsidP="00D44EF6">
      <w:pPr>
        <w:pStyle w:val="NoSpacing"/>
      </w:pPr>
      <w:r w:rsidRPr="00D44EF6">
        <w:t>Wasserman, L. (2000). Bayesian model selection and model averaging. Journal of Mathematical Psychology, 44(1), 92-107.</w:t>
      </w:r>
    </w:p>
    <w:p w14:paraId="22CDB399" w14:textId="77777777" w:rsidR="00D44EF6" w:rsidRDefault="00D44EF6" w:rsidP="00D44EF6">
      <w:pPr>
        <w:pStyle w:val="NoSpacing"/>
      </w:pPr>
    </w:p>
    <w:p w14:paraId="486FCBF3" w14:textId="77777777" w:rsidR="00D44EF6" w:rsidRPr="00A5695B" w:rsidRDefault="00D44EF6" w:rsidP="00D44EF6">
      <w:pPr>
        <w:pStyle w:val="NoSpacing"/>
      </w:pPr>
      <w:proofErr w:type="spellStart"/>
      <w:r w:rsidRPr="00D44EF6">
        <w:t>Gelman</w:t>
      </w:r>
      <w:proofErr w:type="spellEnd"/>
      <w:r w:rsidRPr="00D44EF6">
        <w:t>, A., Carlin, J.B., Stern, H.S., Rubin, D.B. (2003). Bayesian Data Analysis. Second Edition. Boca Raton, FL: Chapman and Hall/CRC Press.</w:t>
      </w:r>
    </w:p>
    <w:sectPr w:rsidR="00D44EF6" w:rsidRPr="00A5695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1B9AF" w14:textId="77777777" w:rsidR="0000455A" w:rsidRDefault="0000455A" w:rsidP="00145F70">
      <w:pPr>
        <w:spacing w:after="0" w:line="240" w:lineRule="auto"/>
      </w:pPr>
      <w:r>
        <w:separator/>
      </w:r>
    </w:p>
  </w:endnote>
  <w:endnote w:type="continuationSeparator" w:id="0">
    <w:p w14:paraId="72D0544E" w14:textId="77777777" w:rsidR="0000455A" w:rsidRDefault="0000455A" w:rsidP="0014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mn-c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134868"/>
      <w:docPartObj>
        <w:docPartGallery w:val="Page Numbers (Bottom of Page)"/>
        <w:docPartUnique/>
      </w:docPartObj>
    </w:sdtPr>
    <w:sdtEndPr/>
    <w:sdtContent>
      <w:sdt>
        <w:sdtPr>
          <w:id w:val="1728636285"/>
          <w:docPartObj>
            <w:docPartGallery w:val="Page Numbers (Top of Page)"/>
            <w:docPartUnique/>
          </w:docPartObj>
        </w:sdtPr>
        <w:sdtEndPr/>
        <w:sdtContent>
          <w:p w14:paraId="52618276" w14:textId="77777777" w:rsidR="007767E6" w:rsidRDefault="007767E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132A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32AF">
              <w:rPr>
                <w:b/>
                <w:bCs/>
                <w:noProof/>
              </w:rPr>
              <w:t>15</w:t>
            </w:r>
            <w:r>
              <w:rPr>
                <w:b/>
                <w:bCs/>
                <w:sz w:val="24"/>
                <w:szCs w:val="24"/>
              </w:rPr>
              <w:fldChar w:fldCharType="end"/>
            </w:r>
          </w:p>
        </w:sdtContent>
      </w:sdt>
    </w:sdtContent>
  </w:sdt>
  <w:p w14:paraId="01D6C3AF" w14:textId="77777777" w:rsidR="007767E6" w:rsidRDefault="007767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9FE53" w14:textId="77777777" w:rsidR="0000455A" w:rsidRDefault="0000455A" w:rsidP="00145F70">
      <w:pPr>
        <w:spacing w:after="0" w:line="240" w:lineRule="auto"/>
      </w:pPr>
      <w:r>
        <w:separator/>
      </w:r>
    </w:p>
  </w:footnote>
  <w:footnote w:type="continuationSeparator" w:id="0">
    <w:p w14:paraId="58CFD5FB" w14:textId="77777777" w:rsidR="0000455A" w:rsidRDefault="0000455A" w:rsidP="00145F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050"/>
    <w:multiLevelType w:val="multilevel"/>
    <w:tmpl w:val="41BC48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1D03A4"/>
    <w:multiLevelType w:val="hybridMultilevel"/>
    <w:tmpl w:val="14AA3A3E"/>
    <w:lvl w:ilvl="0" w:tplc="05A26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A15DA"/>
    <w:multiLevelType w:val="hybridMultilevel"/>
    <w:tmpl w:val="429A5C80"/>
    <w:lvl w:ilvl="0" w:tplc="8FF05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5870E9"/>
    <w:multiLevelType w:val="hybridMultilevel"/>
    <w:tmpl w:val="2FFAD0A6"/>
    <w:lvl w:ilvl="0" w:tplc="E8B85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B13D8E"/>
    <w:multiLevelType w:val="hybridMultilevel"/>
    <w:tmpl w:val="F2ECD70E"/>
    <w:lvl w:ilvl="0" w:tplc="DEC6E19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137778"/>
    <w:multiLevelType w:val="hybridMultilevel"/>
    <w:tmpl w:val="127A27D8"/>
    <w:lvl w:ilvl="0" w:tplc="1F5C8D58">
      <w:start w:val="7"/>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436BC9"/>
    <w:multiLevelType w:val="hybridMultilevel"/>
    <w:tmpl w:val="44E2EB9E"/>
    <w:lvl w:ilvl="0" w:tplc="D9EE0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8A839DC"/>
    <w:multiLevelType w:val="hybridMultilevel"/>
    <w:tmpl w:val="5F104726"/>
    <w:lvl w:ilvl="0" w:tplc="5B2AC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287F85"/>
    <w:multiLevelType w:val="hybridMultilevel"/>
    <w:tmpl w:val="7AC8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BB069F"/>
    <w:multiLevelType w:val="hybridMultilevel"/>
    <w:tmpl w:val="5D46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6"/>
  </w:num>
  <w:num w:numId="5">
    <w:abstractNumId w:val="2"/>
  </w:num>
  <w:num w:numId="6">
    <w:abstractNumId w:val="5"/>
  </w:num>
  <w:num w:numId="7">
    <w:abstractNumId w:val="4"/>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C00"/>
    <w:rsid w:val="0000455A"/>
    <w:rsid w:val="000146D2"/>
    <w:rsid w:val="00031AF7"/>
    <w:rsid w:val="00036323"/>
    <w:rsid w:val="00074173"/>
    <w:rsid w:val="00077951"/>
    <w:rsid w:val="000806F9"/>
    <w:rsid w:val="000B096F"/>
    <w:rsid w:val="000C312B"/>
    <w:rsid w:val="000D782C"/>
    <w:rsid w:val="000D7CAC"/>
    <w:rsid w:val="001132AF"/>
    <w:rsid w:val="00142699"/>
    <w:rsid w:val="00144D36"/>
    <w:rsid w:val="00145F70"/>
    <w:rsid w:val="00146D88"/>
    <w:rsid w:val="0017095D"/>
    <w:rsid w:val="00171425"/>
    <w:rsid w:val="0017452B"/>
    <w:rsid w:val="00180311"/>
    <w:rsid w:val="00181323"/>
    <w:rsid w:val="001C0C6C"/>
    <w:rsid w:val="001D03B5"/>
    <w:rsid w:val="001D52B8"/>
    <w:rsid w:val="002023DA"/>
    <w:rsid w:val="0020540A"/>
    <w:rsid w:val="00206A20"/>
    <w:rsid w:val="00217CB1"/>
    <w:rsid w:val="00217DE0"/>
    <w:rsid w:val="0027531D"/>
    <w:rsid w:val="00283258"/>
    <w:rsid w:val="00283728"/>
    <w:rsid w:val="00287408"/>
    <w:rsid w:val="002C27BE"/>
    <w:rsid w:val="002C53B1"/>
    <w:rsid w:val="002D0554"/>
    <w:rsid w:val="002F27B9"/>
    <w:rsid w:val="00321C4A"/>
    <w:rsid w:val="00332A24"/>
    <w:rsid w:val="00377F18"/>
    <w:rsid w:val="003B0382"/>
    <w:rsid w:val="003B6A99"/>
    <w:rsid w:val="003D03A8"/>
    <w:rsid w:val="003E5AC8"/>
    <w:rsid w:val="003F1291"/>
    <w:rsid w:val="004030CC"/>
    <w:rsid w:val="00405508"/>
    <w:rsid w:val="0045082C"/>
    <w:rsid w:val="00494711"/>
    <w:rsid w:val="004957A7"/>
    <w:rsid w:val="004C1723"/>
    <w:rsid w:val="004C2AAF"/>
    <w:rsid w:val="004E346A"/>
    <w:rsid w:val="005155F0"/>
    <w:rsid w:val="00522A04"/>
    <w:rsid w:val="0058171D"/>
    <w:rsid w:val="00596A2D"/>
    <w:rsid w:val="005A31A5"/>
    <w:rsid w:val="005A35F4"/>
    <w:rsid w:val="005A6891"/>
    <w:rsid w:val="005A70BD"/>
    <w:rsid w:val="005C51A9"/>
    <w:rsid w:val="005D0437"/>
    <w:rsid w:val="005D0D7F"/>
    <w:rsid w:val="005E2A5D"/>
    <w:rsid w:val="00601E79"/>
    <w:rsid w:val="00603E54"/>
    <w:rsid w:val="00606D3F"/>
    <w:rsid w:val="00620AF3"/>
    <w:rsid w:val="00642944"/>
    <w:rsid w:val="00650CF7"/>
    <w:rsid w:val="00656122"/>
    <w:rsid w:val="006628AD"/>
    <w:rsid w:val="006A35FB"/>
    <w:rsid w:val="006B173C"/>
    <w:rsid w:val="006C2539"/>
    <w:rsid w:val="006D74C2"/>
    <w:rsid w:val="006E76BD"/>
    <w:rsid w:val="00713E35"/>
    <w:rsid w:val="00722B9C"/>
    <w:rsid w:val="00734C09"/>
    <w:rsid w:val="00745B91"/>
    <w:rsid w:val="00766234"/>
    <w:rsid w:val="0077129A"/>
    <w:rsid w:val="007767E6"/>
    <w:rsid w:val="00784147"/>
    <w:rsid w:val="0079724E"/>
    <w:rsid w:val="007A0CDF"/>
    <w:rsid w:val="007A7D4C"/>
    <w:rsid w:val="007B0469"/>
    <w:rsid w:val="007B7E3F"/>
    <w:rsid w:val="007E2F1A"/>
    <w:rsid w:val="007F5330"/>
    <w:rsid w:val="008278DD"/>
    <w:rsid w:val="008430EB"/>
    <w:rsid w:val="00860D9D"/>
    <w:rsid w:val="00867D33"/>
    <w:rsid w:val="008940A4"/>
    <w:rsid w:val="008B022B"/>
    <w:rsid w:val="008B3645"/>
    <w:rsid w:val="008B515E"/>
    <w:rsid w:val="008F1250"/>
    <w:rsid w:val="008F5EA4"/>
    <w:rsid w:val="00906B5E"/>
    <w:rsid w:val="009110E7"/>
    <w:rsid w:val="00917CC8"/>
    <w:rsid w:val="00935F17"/>
    <w:rsid w:val="00937FFD"/>
    <w:rsid w:val="00940475"/>
    <w:rsid w:val="00941434"/>
    <w:rsid w:val="00942CEE"/>
    <w:rsid w:val="00947966"/>
    <w:rsid w:val="00970992"/>
    <w:rsid w:val="009717D8"/>
    <w:rsid w:val="009831C0"/>
    <w:rsid w:val="009A2417"/>
    <w:rsid w:val="009A6C66"/>
    <w:rsid w:val="009B19FF"/>
    <w:rsid w:val="009B514A"/>
    <w:rsid w:val="009D1426"/>
    <w:rsid w:val="009D60DE"/>
    <w:rsid w:val="00A01C26"/>
    <w:rsid w:val="00A11E3E"/>
    <w:rsid w:val="00A3079B"/>
    <w:rsid w:val="00A34876"/>
    <w:rsid w:val="00A50C42"/>
    <w:rsid w:val="00A5695B"/>
    <w:rsid w:val="00A56A72"/>
    <w:rsid w:val="00A60249"/>
    <w:rsid w:val="00A636FE"/>
    <w:rsid w:val="00A6485D"/>
    <w:rsid w:val="00A717EE"/>
    <w:rsid w:val="00A84C5E"/>
    <w:rsid w:val="00A8643E"/>
    <w:rsid w:val="00AB059D"/>
    <w:rsid w:val="00AB4E39"/>
    <w:rsid w:val="00AC3876"/>
    <w:rsid w:val="00AD12BB"/>
    <w:rsid w:val="00AE4109"/>
    <w:rsid w:val="00AE7C42"/>
    <w:rsid w:val="00AF5FF5"/>
    <w:rsid w:val="00AF7454"/>
    <w:rsid w:val="00B27132"/>
    <w:rsid w:val="00B328B6"/>
    <w:rsid w:val="00B32F88"/>
    <w:rsid w:val="00B36414"/>
    <w:rsid w:val="00B432A3"/>
    <w:rsid w:val="00B57C47"/>
    <w:rsid w:val="00BC54A8"/>
    <w:rsid w:val="00BC7175"/>
    <w:rsid w:val="00BE0C12"/>
    <w:rsid w:val="00BE3386"/>
    <w:rsid w:val="00C02575"/>
    <w:rsid w:val="00C0744E"/>
    <w:rsid w:val="00C14D55"/>
    <w:rsid w:val="00C3164E"/>
    <w:rsid w:val="00C42E56"/>
    <w:rsid w:val="00C73C33"/>
    <w:rsid w:val="00C8373E"/>
    <w:rsid w:val="00C91A8B"/>
    <w:rsid w:val="00CA1183"/>
    <w:rsid w:val="00CA218F"/>
    <w:rsid w:val="00CA49E7"/>
    <w:rsid w:val="00CE4701"/>
    <w:rsid w:val="00CE6AF1"/>
    <w:rsid w:val="00CF3A18"/>
    <w:rsid w:val="00D14666"/>
    <w:rsid w:val="00D2064D"/>
    <w:rsid w:val="00D44EF6"/>
    <w:rsid w:val="00D45830"/>
    <w:rsid w:val="00D81563"/>
    <w:rsid w:val="00D863DC"/>
    <w:rsid w:val="00D93311"/>
    <w:rsid w:val="00DB0376"/>
    <w:rsid w:val="00DD63B2"/>
    <w:rsid w:val="00DD7B87"/>
    <w:rsid w:val="00DF1864"/>
    <w:rsid w:val="00DF1CEC"/>
    <w:rsid w:val="00E27648"/>
    <w:rsid w:val="00E374EC"/>
    <w:rsid w:val="00E40E1D"/>
    <w:rsid w:val="00E45A25"/>
    <w:rsid w:val="00E47C57"/>
    <w:rsid w:val="00E52078"/>
    <w:rsid w:val="00E63B5B"/>
    <w:rsid w:val="00E667D6"/>
    <w:rsid w:val="00E6701F"/>
    <w:rsid w:val="00E74F36"/>
    <w:rsid w:val="00E75D02"/>
    <w:rsid w:val="00E77AE1"/>
    <w:rsid w:val="00E84B3C"/>
    <w:rsid w:val="00E84C00"/>
    <w:rsid w:val="00E97945"/>
    <w:rsid w:val="00EA3921"/>
    <w:rsid w:val="00ED5AB3"/>
    <w:rsid w:val="00EE7EDF"/>
    <w:rsid w:val="00EF5DC7"/>
    <w:rsid w:val="00EF6580"/>
    <w:rsid w:val="00F11762"/>
    <w:rsid w:val="00F12403"/>
    <w:rsid w:val="00F15CFC"/>
    <w:rsid w:val="00F377EC"/>
    <w:rsid w:val="00F44DED"/>
    <w:rsid w:val="00F46C4C"/>
    <w:rsid w:val="00F47D9E"/>
    <w:rsid w:val="00F53E01"/>
    <w:rsid w:val="00F57E8D"/>
    <w:rsid w:val="00F719D0"/>
    <w:rsid w:val="00F77971"/>
    <w:rsid w:val="00F84B91"/>
    <w:rsid w:val="00F9353B"/>
    <w:rsid w:val="00FB5EF8"/>
    <w:rsid w:val="00FC4D3E"/>
    <w:rsid w:val="00FD14EE"/>
    <w:rsid w:val="00FD3D90"/>
    <w:rsid w:val="00FE54DA"/>
    <w:rsid w:val="00FF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2FA6B"/>
  <w15:docId w15:val="{CD06047F-2FDE-4945-BE55-6A13625E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414"/>
    <w:pPr>
      <w:spacing w:after="0" w:line="240" w:lineRule="auto"/>
    </w:pPr>
  </w:style>
  <w:style w:type="character" w:styleId="Hyperlink">
    <w:name w:val="Hyperlink"/>
    <w:basedOn w:val="DefaultParagraphFont"/>
    <w:uiPriority w:val="99"/>
    <w:unhideWhenUsed/>
    <w:rsid w:val="00C8373E"/>
    <w:rPr>
      <w:color w:val="0563C1" w:themeColor="hyperlink"/>
      <w:u w:val="single"/>
    </w:rPr>
  </w:style>
  <w:style w:type="table" w:styleId="TableGrid">
    <w:name w:val="Table Grid"/>
    <w:basedOn w:val="TableNormal"/>
    <w:uiPriority w:val="39"/>
    <w:rsid w:val="00AC3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23DA"/>
    <w:rPr>
      <w:color w:val="808080"/>
    </w:rPr>
  </w:style>
  <w:style w:type="character" w:customStyle="1" w:styleId="Heading1Char">
    <w:name w:val="Heading 1 Char"/>
    <w:basedOn w:val="DefaultParagraphFont"/>
    <w:link w:val="Heading1"/>
    <w:uiPriority w:val="9"/>
    <w:rsid w:val="00A717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17EE"/>
    <w:pPr>
      <w:outlineLvl w:val="9"/>
    </w:pPr>
    <w:rPr>
      <w:lang w:eastAsia="en-US"/>
    </w:rPr>
  </w:style>
  <w:style w:type="paragraph" w:styleId="NormalWeb">
    <w:name w:val="Normal (Web)"/>
    <w:basedOn w:val="Normal"/>
    <w:uiPriority w:val="99"/>
    <w:semiHidden/>
    <w:unhideWhenUsed/>
    <w:rsid w:val="00AB05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F70"/>
  </w:style>
  <w:style w:type="paragraph" w:styleId="Footer">
    <w:name w:val="footer"/>
    <w:basedOn w:val="Normal"/>
    <w:link w:val="FooterChar"/>
    <w:uiPriority w:val="99"/>
    <w:unhideWhenUsed/>
    <w:rsid w:val="00145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F70"/>
  </w:style>
  <w:style w:type="paragraph" w:styleId="TOC2">
    <w:name w:val="toc 2"/>
    <w:basedOn w:val="Normal"/>
    <w:next w:val="Normal"/>
    <w:autoRedefine/>
    <w:uiPriority w:val="39"/>
    <w:unhideWhenUsed/>
    <w:rsid w:val="005E2A5D"/>
    <w:pPr>
      <w:spacing w:after="100"/>
      <w:ind w:left="220"/>
    </w:pPr>
    <w:rPr>
      <w:rFonts w:cs="Times New Roman"/>
      <w:lang w:eastAsia="en-US"/>
    </w:rPr>
  </w:style>
  <w:style w:type="paragraph" w:styleId="TOC1">
    <w:name w:val="toc 1"/>
    <w:basedOn w:val="Normal"/>
    <w:next w:val="Normal"/>
    <w:autoRedefine/>
    <w:uiPriority w:val="39"/>
    <w:unhideWhenUsed/>
    <w:rsid w:val="005E2A5D"/>
    <w:pPr>
      <w:spacing w:after="100"/>
    </w:pPr>
    <w:rPr>
      <w:rFonts w:cs="Times New Roman"/>
      <w:lang w:eastAsia="en-US"/>
    </w:rPr>
  </w:style>
  <w:style w:type="paragraph" w:styleId="TOC3">
    <w:name w:val="toc 3"/>
    <w:basedOn w:val="Normal"/>
    <w:next w:val="Normal"/>
    <w:autoRedefine/>
    <w:uiPriority w:val="39"/>
    <w:unhideWhenUsed/>
    <w:rsid w:val="005E2A5D"/>
    <w:pPr>
      <w:spacing w:after="100"/>
      <w:ind w:left="440"/>
    </w:pPr>
    <w:rPr>
      <w:rFonts w:cs="Times New Roman"/>
      <w:lang w:eastAsia="en-US"/>
    </w:rPr>
  </w:style>
  <w:style w:type="paragraph" w:styleId="Index1">
    <w:name w:val="index 1"/>
    <w:basedOn w:val="Normal"/>
    <w:next w:val="Normal"/>
    <w:autoRedefine/>
    <w:uiPriority w:val="99"/>
    <w:semiHidden/>
    <w:unhideWhenUsed/>
    <w:rsid w:val="0077129A"/>
    <w:pPr>
      <w:spacing w:after="0" w:line="240" w:lineRule="auto"/>
      <w:ind w:left="220" w:hanging="220"/>
    </w:pPr>
  </w:style>
  <w:style w:type="paragraph" w:styleId="BalloonText">
    <w:name w:val="Balloon Text"/>
    <w:basedOn w:val="Normal"/>
    <w:link w:val="BalloonTextChar"/>
    <w:uiPriority w:val="99"/>
    <w:semiHidden/>
    <w:unhideWhenUsed/>
    <w:rsid w:val="002D05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0554"/>
    <w:rPr>
      <w:rFonts w:ascii="Lucida Grande" w:hAnsi="Lucida Grande"/>
      <w:sz w:val="18"/>
      <w:szCs w:val="18"/>
    </w:rPr>
  </w:style>
  <w:style w:type="paragraph" w:styleId="DocumentMap">
    <w:name w:val="Document Map"/>
    <w:basedOn w:val="Normal"/>
    <w:link w:val="DocumentMapChar"/>
    <w:uiPriority w:val="99"/>
    <w:semiHidden/>
    <w:unhideWhenUsed/>
    <w:rsid w:val="001132A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132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3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tan-dev/stan/releases/download/v2.9.0/stan-reference-2.9.0.pdf"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3FBD-EB08-7242-8760-14E98B45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3669</Words>
  <Characters>20916</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Shao</dc:creator>
  <cp:keywords/>
  <dc:description/>
  <cp:lastModifiedBy>Andy Shapiro</cp:lastModifiedBy>
  <cp:revision>2</cp:revision>
  <dcterms:created xsi:type="dcterms:W3CDTF">2016-03-15T02:25:00Z</dcterms:created>
  <dcterms:modified xsi:type="dcterms:W3CDTF">2016-03-15T02:25:00Z</dcterms:modified>
</cp:coreProperties>
</file>