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20"/>
        <w:jc w:val="left"/>
      </w:pPr>
      <w:r>
        <w:rPr>
          <w:rFonts w:ascii="Microsoft YaHei" w:hAnsi="Microsoft YaHei" w:eastAsia="Microsoft YaHei"/>
          <w:b/>
          <w:color w:val="000000"/>
          <w:sz w:val="42"/>
        </w:rPr>
        <w:t>多智能体协同开发系统搭建方案</w:t>
      </w:r>
    </w:p>
    <w:p>
      <w:pPr>
        <w:spacing w:after="140"/>
      </w:pPr>
      <w:r>
        <w:rPr>
          <w:rFonts w:ascii="Microsoft YaHei" w:hAnsi="Microsoft YaHei" w:eastAsia="Microsoft YaHei"/>
          <w:b/>
          <w:color w:val="4B5563"/>
          <w:sz w:val="26"/>
        </w:rPr>
        <w:t>首期 MVP 方案 | OpenCode + WSL2</w:t>
      </w:r>
    </w:p>
    <w:p>
      <w:pPr>
        <w:spacing w:after="200"/>
      </w:pPr>
      <w:r>
        <w:t>版本：MVP 1.4（模型策略 A 已确认；GPT 订阅认证已澄清）    日期：2026-10-11    目标：在授权代码仓库验证六阶段交付闭环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1. 决策摘要</w:t>
      </w: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首期以 OpenCode 作为交互和 Agent 宿主，在 WSL2 Ubuntu 环境运行。流程决策由独立状态机负责，所有模型和工具访问经权限网关；OpenCode Skill 仅提供阶段模板、输入格式和退出清单。DSH 不进入首期，待 MVP 稳定后再评估迁移。</w:t>
      </w:r>
    </w:p>
    <w:p>
      <w:pPr>
        <w:spacing w:before="0" w:after="100" w:line="269" w:lineRule="auto"/>
      </w:pPr>
      <w:r>
        <w:t>首期只支持 spec → plan → build → test → review → ship。A 已确认：DeepSeek 第三方公共 API 用于 build，接受供应商服务端实际路由（包括 V4.1 Flash），记录响应标识；客户端不自动切模。GPT-6.1 Sol 负责规划、架构和只读终审。失败保留现场，不自动修复、不自动全盘回滚。</w:t>
      </w:r>
    </w:p>
    <w:p>
      <w:pPr>
        <w:spacing w:before="0" w:after="100" w:line="269" w:lineRule="auto"/>
      </w:pPr>
      <w:r>
        <w:t>DeepSeek 官方资料对 V4 Pro 路由/继续提供服务存在冲突：9 月 10 日公告称 deepseek-v4-pro 请求会路由至 V4.1-Flash；更新日志及当前价格表又称继续提供 V4 Pro API、列出 V4-Pro-0813。[7][8] 用户已选 A，接受供应商服务端路由；M0 仍记录请求 ID、response.model、token、状态码、耗时和账单。若 response.model 只是请求别名回显，标记“底层版本未验证”，不将其误报为真实权重证明。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2. MVP 范围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512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范围</w:t>
            </w:r>
          </w:p>
        </w:tc>
        <w:tc>
          <w:tcPr>
            <w:tcW w:type="dxa" w:w="4176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首期包含</w:t>
            </w:r>
          </w:p>
        </w:tc>
        <w:tc>
          <w:tcPr>
            <w:tcW w:type="dxa" w:w="4176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首期不包含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流程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spec、plan、build、test、review、ship 六阶段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webperf、code-simplify、constraints、并行 Agent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规划/终审 GPT-6.1 Sol 只读；build 固定 DeepSeek 公共 API，接受服务端路由（A 已确认）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V4.1 自动模型路由、Kimi Code、ZCode Harness；GLM 与并行 Agent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工具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文件、终端、Git、Playwright 浏览器，经权限网关提供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数据库写入、GitHub Issue/PR 自动化、Figma、Web 搜索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环境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OpenCode + WSL2；仓库放在 WSL2 Linux 文件系统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原生 Windows 多 Shell 混跑、跨设备执行</w:t>
            </w:r>
          </w:p>
        </w:tc>
      </w:tr>
      <w:tr>
        <w:tc>
          <w:tcPr>
            <w:tcW w:type="dxa" w:w="151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数据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经授权的测试仓库；按任务向指定模型发送所需代码上下文</w:t>
            </w:r>
          </w:p>
        </w:tc>
        <w:tc>
          <w:tcPr>
            <w:tcW w:type="dxa" w:w="417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sz w:val="17"/>
              </w:rPr>
              <w:t>敏感代码识别、屏蔽或外发审批机制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t>模型策略拍板后，按角色固定请求模型 ID；关闭客户端自动路由、自动降级和跨模型重试。A 可接受供应商服务端路由。OpenCode Agent 只能通过 MCP 权限网关使用文件、终端、Git 和 Playwright；显式关闭绕过网关的直接文件写入与 Shell。[2]</w:t>
      </w:r>
    </w:p>
    <w:p>
      <w:pPr>
        <w:pStyle w:val="Heading2"/>
      </w:pPr>
      <w:r>
        <w:t>模型策略拍板项（用户已确认 A）</w:t>
      </w:r>
    </w:p>
    <w:p>
      <w:pPr/>
      <w:r>
        <w:t>A｜接受 DeepSeek 公共 API 路由。质量：按实测返回的 V4 Pro/Flash评估，官方宣传与本项目编码结果不等价；成本：若按 Flash 计费有望最低，最终看供应商账单；难度：低，优先复用现有 Provider 配置思路；风险：服务端映射、质量和计费不透明；进度：三案中最快。接受 Flash 即继续，记录响应标识，不自动切换。</w:t>
      </w:r>
    </w:p>
    <w:p>
      <w:pPr/>
      <w:r>
        <w:t>B｜首期编码全部用 GPT-6.1 Sol。质量：固定单一型号便于建立基线，实际编码质量仍需试点验证；成本：预计高于按 Flash 计费的 A，供应商报价为准；难度：低至中，新增隔离的 GPT 编码 Worker/凭据并经网关授予受限写权限；风险：调整“GPT 只读”原规则，且仍需验证供应商模型映射；进度：接入通过后较可预测。规划/终审 Worker 仍只读。</w:t>
      </w:r>
    </w:p>
    <w:p>
      <w:pPr/>
      <w:r>
        <w:t>C｜改用 Kimi K3 编码。质量：官方定位包含长程编码/软件工程，但本仓库效果未知；成本：按第三方报价核算，不能以官方直连价代替；难度：中，须完成独立映射、凭据、工具兼容与任务验收；风险：模型映射和质量尚无本项目数据；进度：通常慢于 A/B，M0/M3 需多一轮验证。[9]</w:t>
      </w:r>
    </w:p>
    <w:p>
      <w:pPr/>
      <w:r>
        <w:t>决策结果：首期执行 A，不同时接入 B/C。其主要优势是改动和成本预期较小；质量由 10 个试点任务验证。若 M3 未达到交付成功门槛，阶段失败阻断并提交人工决策，不自动切换 GPT 或 Kimi。30% 降本仍是待验证假设。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3. 运行结构与权限边界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655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组件</w:t>
            </w:r>
          </w:p>
        </w:tc>
        <w:tc>
          <w:tcPr>
            <w:tcW w:type="dxa" w:w="3384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824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边界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交互与 Agent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复用 OpenCode；运行于 WSL2 Ubuntu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固定仓库、配置和模型角色；不作为流程唯一决策源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外部状态机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自研本地服务 + SQLite 持久化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唯一允许阶段跳转的组件；校验阶段、身份、任务分支、产物和验收证据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MCP 权限网关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自研网关；仅向 Agent 暴露受控 MCP 工具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按角色鉴权、路径/命令白名单、审批校验、审计；失败关闭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模型 Worker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按角色固定模型 Worker；凭据按认证方式隔离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GPT：OpenCode 官方 ChatGPT Plus/Pro 订阅登录（非 API Key）；DeepSeek：build 专用天翼 API Key。工具权限由网关按角色控制。</w:t>
            </w:r>
          </w:p>
        </w:tc>
      </w:tr>
      <w:tr>
        <w:tc>
          <w:tcPr>
            <w:tcW w:type="dxa" w:w="165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隔离与验证</w:t>
            </w:r>
          </w:p>
        </w:tc>
        <w:tc>
          <w:tcPr>
            <w:tcW w:type="dxa" w:w="338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Git worktree、Git、测试脚本、Playwright MCP</w:t>
            </w:r>
          </w:p>
        </w:tc>
        <w:tc>
          <w:tcPr>
            <w:tcW w:type="dxa" w:w="4824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每任务独立分支和浏览器临时目录；证据写入任务记录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角色权限：规划/评审可读源代码与测试证据，但不能写代码、执行任意 Shell 或提交；编码 Agent 仅可读写任务 worktree、执行白名单命令和查看 Git 状态/差异，禁止 push；测试工具只运行计划中批准的命令；ship 阶段由用户批准，网关使用短时授权执行 push。</w:t>
      </w:r>
    </w:p>
    <w:p>
      <w:pPr>
        <w:spacing w:before="0" w:after="100" w:line="269" w:lineRule="auto"/>
      </w:pPr>
      <w:r>
        <w:t>每次模型/工具调用记录任务 ID、角色、请求模型 ID、返回模型标识、token、耗时、状态码和结果；接口未提供的字段标“不可得”，不得猜测。日志脱敏且不存完整提示、密钥或代码原文。DeepSeek 天翼 API Key 仅供 build Worker，不共享；GPT 规划/终审用 OpenCode 官方 ChatGPT Plus/Pro 订阅授权（非 API Key，可共用获批会话），只读由网关强制；授权文件仅 WSL2 服务用户可读且不入库。超时/限流最多重试 2 次，401/403 不重试；仍失败即阻断、不切模型，网关或审计故障时拒绝写操作。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4. 六阶段流程与退出条件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3278"/>
        <w:gridCol w:w="3278"/>
        <w:gridCol w:w="3278"/>
      </w:tblGrid>
      <w:tr>
        <w:trPr>
          <w:tblHeader w:val="true"/>
        </w:trPr>
        <w:tc>
          <w:tcPr>
            <w:tcW w:type="dxa" w:w="1036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阶段</w:t>
            </w:r>
          </w:p>
        </w:tc>
        <w:tc>
          <w:tcPr>
            <w:tcW w:type="dxa" w:w="2232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执行者</w:t>
            </w:r>
          </w:p>
        </w:tc>
        <w:tc>
          <w:tcPr>
            <w:tcW w:type="dxa" w:w="6595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产物与退出条件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spec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GPT-6.1 Sol + 用户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sz w:val="16"/>
              </w:rPr>
              <w:t>范围、非目标、验收标准、权限要求；用户确认后进入 plan。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plan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GPT-6.1 Sol + 用户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依赖顺序、任务切片、目标文件、测试命令、风险和回退说明；用户确认后入 build。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build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DeepSeek 第三方公共 API（A）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按批准计划逐切片改动，仅写任务 worktree；记录请求 ID、response.model、token、耗时、状态码。接受供应商服务端路由，失败阻断，不自动切模。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test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确定性测试器 + Playwright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运行批准的构建/单测/验收命令；保存日志、退出码。浏览器校验 URL、关键 DOM、控制台错误；失败保留现场。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review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GPT-6.1 Sol（只读）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检查计划、diff、测试证据，输出结构化问题和结论；阻断项未清零不得进入 ship。</w:t>
            </w:r>
          </w:p>
        </w:tc>
      </w:tr>
      <w:tr>
        <w:tc>
          <w:tcPr>
            <w:tcW w:type="dxa" w:w="103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ship</w:t>
            </w:r>
          </w:p>
        </w:tc>
        <w:tc>
          <w:tcPr>
            <w:tcW w:type="dxa" w:w="2232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 + 网关</w:t>
            </w:r>
          </w:p>
        </w:tc>
        <w:tc>
          <w:tcPr>
            <w:tcW w:type="dxa" w:w="6595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用户确认后由网关生成任务分支本地提交并按批准范围 push；所有 Agent 无 push 凭据。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状态机状态建议：待执行、运行中、待人工确认、通过、失败阻断、已取消。仅允许相邻阶段转换；失败后的重跑或退回 build 需要用户确认。服务重启后从 SQLite 恢复阶段与产物，不重复执行未确认的写操作。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5. Git、浏览器、模型与数据安全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YaHei" w:hAnsi="Microsoft YaHei" w:eastAsia="Microsoft YaHei"/>
          <w:b w:val="0"/>
          <w:color w:val="111827"/>
          <w:sz w:val="19"/>
        </w:rPr>
        <w:t>Git：开始任务前确认基线提交并创建独立 worktree/任务分支。MVP 禁止自动执行 git checkout -- .、reset --hard、clean -fd、自动全盘回滚和自动修复。失败时冻结任务、保留 worktree、diff 和日志；人工检查后仅处置本任务确认归属的文件。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YaHei" w:hAnsi="Microsoft YaHei" w:eastAsia="Microsoft YaHei"/>
          <w:b w:val="0"/>
          <w:color w:val="111827"/>
          <w:sz w:val="19"/>
        </w:rPr>
        <w:t>浏览器：每任务独立临时 user-data-dir 或 Playwright isolated context；不连接个人浏览器 Profile。仅访问本地测试站点；通过最终 URL、指定 DOM、页面/控制台错误和网络失败状态判断，不以截图像素作为唯一通过条件。</w:t>
      </w:r>
    </w:p>
    <w:p>
      <w:pPr>
        <w:pStyle w:val="ListBullet"/>
        <w:spacing w:after="60" w:line="264" w:lineRule="auto"/>
        <w:ind w:left="317" w:hanging="202"/>
      </w:pPr>
      <w:r>
        <w:t>模型策略：A 已确认，build 请求 DeepSeek 公共 API ID，接受供应商服务端路由（含 V4.1 Flash）；记录 response.model、usage、耗时和状态码。若 response.model 仅回显请求别名，标记“底层版本未验证”。客户端关闭自动路由、降级和切模；API 连续失败后阶段阻断。</w:t>
      </w:r>
    </w:p>
    <w:p>
      <w:pPr>
        <w:pStyle w:val="ListBullet"/>
        <w:spacing w:after="60" w:line="264" w:lineRule="auto"/>
        <w:ind w:left="317" w:hanging="202"/>
      </w:pPr>
      <w:r>
        <w:t>数据边界：按任务向云端发送所需代码。GPT 规划/终审走 OpenAI 官方 ChatGPT 订阅授权，DeepSeek build 走天翼 API。首期不做敏感代码识别、屏蔽或外发审批；MCP 网关管工具和写权限，审计脱敏且不记录密钥、完整提示或代码原文。DeepSeek Key 仅供 build Worker。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YaHei" w:hAnsi="Microsoft YaHei" w:eastAsia="Microsoft YaHei"/>
          <w:b w:val="0"/>
          <w:color w:val="111827"/>
          <w:sz w:val="19"/>
        </w:rPr>
        <w:t>WSL2：仓库、Git worktree、Node/Python 运行时和 OpenCode 配置统一在 WSL2 Linux 文件系统。不要同时从 Windows 与 WSL2 修改同一个 worktree；固定 Node、OpenCode、MCP Server 版本并提交锁文件。OpenCode 官方将 WSL2 列为 Windows 推荐体验。[1]</w:t>
      </w:r>
    </w:p>
    <w:p>
      <w:pPr>
        <w:pStyle w:val="Heading1"/>
        <w:keepNext/>
        <w:pageBreakBefore w:val="0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6. 复用、自研与二期边界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1756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分类</w:t>
            </w:r>
          </w:p>
        </w:tc>
        <w:tc>
          <w:tcPr>
            <w:tcW w:type="dxa" w:w="8107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7"/>
              </w:rPr>
              <w:t>模块</w:t>
            </w:r>
          </w:p>
        </w:tc>
      </w:tr>
      <w:tr>
        <w:tc>
          <w:tcPr>
            <w:tcW w:type="dxa" w:w="17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复用开源</w:t>
            </w:r>
          </w:p>
        </w:tc>
        <w:tc>
          <w:tcPr>
            <w:tcW w:type="dxa" w:w="81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OpenCode；WSL2；agent-skills 六阶段模板；Git worktree；Microsoft Playwright MCP。OpenCode 权限机制不替代自研状态机/网关；依赖锁版本并在 WSL2 核验。[1][2][3][4]</w:t>
            </w:r>
          </w:p>
        </w:tc>
      </w:tr>
      <w:tr>
        <w:tc>
          <w:tcPr>
            <w:tcW w:type="dxa" w:w="17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需自研</w:t>
            </w:r>
          </w:p>
        </w:tc>
        <w:tc>
          <w:tcPr>
            <w:tcW w:type="dxa" w:w="81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外部 SQLite 状态机；MCP 权限网关与审计；角色 Worker 启动；DeepSeek build Key 隔离；GPT 订阅授权接入；Git worktree 生命周期；模型标识/用量采集与限流阻断策略。</w:t>
            </w:r>
          </w:p>
        </w:tc>
      </w:tr>
      <w:tr>
        <w:tc>
          <w:tcPr>
            <w:tcW w:type="dxa" w:w="1756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7"/>
              </w:rPr>
              <w:t>二期扩展</w:t>
            </w:r>
          </w:p>
        </w:tc>
        <w:tc>
          <w:tcPr>
            <w:tcW w:type="dxa" w:w="8107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DSH 迁移评估；constraints、webperf、code-simplify；DeepSeek/Kimi/GLM 其他模型或自动路由；ZCode 可参考其天翼 Provider 模型目录，但不作 MVP Harness；并行 Agent 与其他 MCP。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状态机与 MCP 网关是首期自研核心。其余开源组件只提供底座能力，不代表阶段状态、权限策略、持久化或合规边界已经实现。状态机与工具契约独立于 OpenCode，便于二期评估 DSH，而不把流程规则写死在某个 Harness 中。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7. 实施顺序与交付件</w:t>
      </w:r>
    </w:p>
    <w:p>
      <w:pPr>
        <w:pStyle w:val="ListBullet"/>
        <w:spacing w:after="60" w:line="264" w:lineRule="auto"/>
        <w:ind w:left="317" w:hanging="202"/>
      </w:pPr>
      <w:r>
        <w:t>M0 前置核验（A 已确认）：GPT 侧确认官方订阅账户可用；OpenCode 官方 OpenAI Provider 支持 ChatGPT Plus/Pro 登录，不需要 OpenAI API Key。GPT-6.1 Sol 模型可用性、订阅额度及真实调用须在 M1 安装 OpenCode 后核验。DeepSeek 侧用 build 专用天翼 API Key 测试认证、请求模型 ID、返回标识、token、耗时、状态码、账单及限流/超时；A 接受实际路由到 V4.1 Flash。供应商未暴露的字段标“不可得”，response.model 仅回显别名时标“底层版本未验证”，不猜测。每阶段最多重试 2 次，401/403 不重试，失败阻断且不切模型。截图所示 ZCode 天翼 Provider 地址为 https://ai.ctaigw.cn/v1，目录含 deepseek-v4-pro-0813、deepseek-v4-flash-vision-exp-0817、kimi-k3、glm-5.3、glm-5.3-flash；仅证明 ZCode 有此目录，不证明 OpenCode 兼容、实际模型或账单。完成环境/授权准备后进入 M1，实际登录和模型请求在 OpenCode 中核验；另确认仓库与云端调用已获授权。</w:t>
      </w:r>
    </w:p>
    <w:p>
      <w:pPr>
        <w:pStyle w:val="ListBullet"/>
        <w:spacing w:after="60" w:line="264" w:lineRule="auto"/>
        <w:ind w:left="317" w:hanging="202"/>
      </w:pPr>
      <w:r>
        <w:t>M1 环境基线：完成前置核验后安装 WSL2 Ubuntu、OpenCode、Git、Node/Python 和 Playwright MCP；仓库放在 WSL2 内，固定依赖与最小权限配置。OpenCode 使用官方 OpenAI Provider 的 ChatGPT Plus/Pro 登录授权，核验 GPT-6.1 Sol 是否可选并做无副作用调用；DeepSeek 天翼 API Key 仅配置给 build Worker 并核验连通性。GPT 不配置 OpenAI API Key。未通过则暂停，不进入 M2。</w:t>
      </w:r>
    </w:p>
    <w:p>
      <w:pPr>
        <w:pStyle w:val="ListBullet"/>
        <w:spacing w:after="60" w:line="264" w:lineRule="auto"/>
        <w:ind w:left="317" w:hanging="202"/>
      </w:pPr>
      <w:r>
        <w:t>M2 控制与权限：实现 SQLite 状态机、阶段产物、审批入口、角色 Worker、MCP 网关、审计及模型标识记录/校验；先验证越权调用会被拒绝。</w:t>
      </w:r>
    </w:p>
    <w:p>
      <w:pPr>
        <w:pStyle w:val="ListBullet"/>
        <w:spacing w:after="60" w:line="264" w:lineRule="auto"/>
        <w:ind w:left="317" w:hanging="202"/>
      </w:pPr>
      <w:r>
        <w:t>M3 试点：在独立仓库运行 10 个小到中等任务，覆盖成功、测试失败、模型不可用、评审阻断、暂停恢复和浏览器校验。</w:t>
      </w:r>
    </w:p>
    <w:p>
      <w:pPr>
        <w:pStyle w:val="ListBullet"/>
        <w:spacing w:after="60" w:line="264" w:lineRule="auto"/>
        <w:ind w:left="317" w:hanging="202"/>
      </w:pPr>
      <w:r>
        <w:rPr>
          <w:rFonts w:ascii="Microsoft YaHei" w:hAnsi="Microsoft YaHei" w:eastAsia="Microsoft YaHei"/>
          <w:b w:val="0"/>
          <w:color w:val="111827"/>
          <w:sz w:val="19"/>
        </w:rPr>
        <w:t>交付件：可运行配置与锁文件、状态机/网关源码、权限矩阵、六阶段 Skill、任务日志样例、验收数据和未解决问题清单。</w:t>
      </w:r>
    </w:p>
    <w:p>
      <w:pPr>
        <w:pStyle w:val="Heading1"/>
        <w:keepNext/>
        <w:pageBreakBefore w:val="0"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8. MVP 验收标准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DEE3"/>
          <w:left w:val="single" w:sz="5" w:space="0" w:color="D9DEE3"/>
          <w:bottom w:val="single" w:sz="5" w:space="0" w:color="D9DEE3"/>
          <w:right w:val="single" w:sz="5" w:space="0" w:color="D9DEE3"/>
          <w:insideH w:val="single" w:sz="5" w:space="0" w:color="D9DEE3"/>
          <w:insideV w:val="single" w:sz="5" w:space="0" w:color="D9DEE3"/>
        </w:tblBorders>
      </w:tblPr>
      <w:tblGrid>
        <w:gridCol w:w="4917"/>
        <w:gridCol w:w="4917"/>
      </w:tblGrid>
      <w:tr>
        <w:trPr>
          <w:tblHeader w:val="true"/>
        </w:trPr>
        <w:tc>
          <w:tcPr>
            <w:tcW w:type="dxa" w:w="1800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指标</w:t>
            </w:r>
          </w:p>
        </w:tc>
        <w:tc>
          <w:tcPr>
            <w:tcW w:type="dxa" w:w="8063"/>
            <w:shd w:fill="26384A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/>
            </w:pPr>
            <w:r>
              <w:rPr>
                <w:rFonts w:ascii="Microsoft YaHei" w:hAnsi="Microsoft YaHei" w:eastAsia="Microsoft YaHei"/>
                <w:b/>
                <w:color w:val="FFFFFF"/>
                <w:sz w:val="16"/>
              </w:rPr>
              <w:t>口径与门槛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流程完整性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 个试点任务均留有六阶段状态和产物；尝试跳步、缺产物或角色越权时 100% 被拒绝；重启后状态可恢复。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交付成功率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成功 = 通过验收条件、测试和评审并获 ship 批准。首轮 10 个合格试点任务至少 8 个成功（≥80%）；进入日常使用前扩至 ≥30 个任务，目标 ≥90%。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人工干预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单列计划审批（spec、plan、ship，最多 3 次）与非计划干预。成功任务非计划干预平均 ≤2 次；所有失败、需求澄清和权限审批仍如实计数。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缺陷逃逸率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ship 后 7 日内确认的缺陷 / 全部确认缺陷；30 任务评估目标 ≤10%，P0/P1 逃逸为 0。首轮样本少时同时报缺陷数，不宣称统计稳定；零缺陷时比例记 N/A。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工具与数据安全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before="0" w:after="0" w:line="259" w:lineRule="auto"/>
            </w:pPr>
            <w:r>
              <w:rPr>
                <w:sz w:val="16"/>
              </w:rPr>
              <w:t>评审写入 0 次、编码 Agent push 0 次、未授权调用 0 次；所有工具调用有审计记录；日志不记录凭据或完整提示内容。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Git/浏览器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10 次故障注入中任务 worktree 外文件无变化；失败现场可检查。10 次浏览器任务均有独立临时目录，并记录 URL、DOM 断言和控制台错误。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Token 成本对比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t>同一批 30 个匹配任务分别运行 GPT-only 与 MVP。记录通过任务数、质量、GPT 订阅计划与额度消耗、DeepSeek 实际账单；同时报告现金支出和按通过任务分摊的成本。GPT 订阅为固定周期费用，不作为逐 Token API 账单。</w:t>
            </w:r>
          </w:p>
        </w:tc>
      </w:tr>
      <w:tr>
        <w:tc>
          <w:tcPr>
            <w:tcW w:type="dxa" w:w="1800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pPr>
              <w:spacing w:after="0" w:line="259" w:lineRule="auto"/>
            </w:pPr>
            <w:r>
              <w:rPr>
                <w:rFonts w:ascii="Microsoft YaHei" w:hAnsi="Microsoft YaHei" w:eastAsia="Microsoft YaHei"/>
                <w:b w:val="0"/>
                <w:color w:val="111827"/>
                <w:sz w:val="16"/>
              </w:rPr>
              <w:t>30% 降本假设</w:t>
            </w:r>
          </w:p>
        </w:tc>
        <w:tc>
          <w:tcPr>
            <w:tcW w:type="dxa" w:w="8063"/>
            <w:vAlign w:val="center"/>
            <w:tcMar>
              <w:top w:w="90" w:type="dxa"/>
              <w:start w:w="105" w:type="dxa"/>
              <w:bottom w:w="90" w:type="dxa"/>
              <w:end w:w="105" w:type="dxa"/>
            </w:tcMar>
            <w:shd w:fill="F2F5F7"/>
          </w:tcPr>
          <w:p>
            <w:r>
              <w:t>MVP/GPT-only ≤ 0.70 仅为待验证假设。分摊口径为测试期订阅费/该组通过任务数 + 该组 DeepSeek 实付/通过任务数。样本不足或质量不等价时不宣称节省。</w:t>
            </w:r>
          </w:p>
        </w:tc>
      </w:tr>
    </w:tbl>
    <w:p>
      <w:pPr>
        <w:spacing w:after="20"/>
      </w:pPr>
    </w:p>
    <w:p>
      <w:pPr>
        <w:spacing w:before="0" w:after="100" w:line="269" w:lineRule="auto"/>
      </w:pPr>
      <w:r>
        <w:rPr>
          <w:rFonts w:ascii="Microsoft YaHei" w:hAnsi="Microsoft YaHei" w:eastAsia="Microsoft YaHei"/>
          <w:b w:val="0"/>
          <w:color w:val="111827"/>
          <w:sz w:val="20"/>
        </w:rPr>
        <w:t>匹配任务必须从相同基线提交创建隔离副本，使用同一验收标准和等价运行环境；失败、取消和人工补做成本单独记录。首轮 10 个任务只作为试点，不足以证明 30% 降本或长期成功率。</w:t>
      </w:r>
    </w:p>
    <w:p>
      <w:pPr>
        <w:pStyle w:val="Heading1"/>
        <w:keepNext/>
        <w:spacing w:before="200" w:after="80"/>
      </w:pPr>
      <w:r>
        <w:rPr>
          <w:rFonts w:ascii="Microsoft YaHei" w:hAnsi="Microsoft YaHei" w:eastAsia="Microsoft YaHei"/>
          <w:b/>
          <w:color w:val="000000"/>
          <w:sz w:val="26"/>
        </w:rPr>
        <w:t>9. 已知阻断项与决策规则</w:t>
      </w:r>
    </w:p>
    <w:p>
      <w:pPr>
        <w:spacing w:before="0" w:after="100" w:line="269" w:lineRule="auto"/>
      </w:pPr>
      <w:r>
        <w:t>模型身份与路由按已确认的 A 处理：供应商可将请求路由到 Flash，MVP 接受该行为并记录供应商响应与账单；API response.model 若是别名回显，标记底层版本未验证，不因此自动阻断或切模型。若 API 没有响应模型标识、token 用量、状态码等必要审计字段，M0 不通过；任何 API 故障均阶段失败阻断。</w:t>
      </w:r>
    </w:p>
    <w:p>
      <w:pPr>
        <w:spacing w:before="0" w:after="100" w:line="269" w:lineRule="auto"/>
      </w:pPr>
      <w:r>
        <w:t>首期不设置敏感代码外发限制，所需代码上下文按角色发送至云端模型服务：GPT 规划/终审经 OpenAI 官方 ChatGPT 订阅授权，DeepSeek build 经天翼第三方 API。工具权限、DeepSeek build Key 隔离和脱敏调用审计照常执行。</w:t>
      </w:r>
    </w:p>
    <w:p>
      <w:pPr>
        <w:pStyle w:val="Heading1"/>
        <w:keepNext/>
        <w:spacing w:before="100" w:after="80"/>
      </w:pPr>
      <w:r>
        <w:rPr>
          <w:rFonts w:ascii="Microsoft YaHei" w:hAnsi="Microsoft YaHei" w:eastAsia="Microsoft YaHei"/>
          <w:b/>
          <w:color w:val="000000"/>
          <w:sz w:val="26"/>
        </w:rPr>
        <w:t>参考资料</w:t>
      </w:r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[1] OpenCode：Windows / WSL2  </w:t>
      </w:r>
      <w:hyperlink r:id="rId9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[2] OpenCode：权限与工具控制  </w:t>
      </w:r>
      <w:hyperlink r:id="rId10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[3] addyosmani/agent-skills：阶段 Skill 与 OpenCode 接入  </w:t>
      </w:r>
      <w:hyperlink r:id="rId11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[4] Microsoft Playwright MCP：浏览器隔离与配置  </w:t>
      </w:r>
      <w:hyperlink r:id="rId12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[5] OpenCode：模型 Provider 配置  </w:t>
      </w:r>
      <w:hyperlink r:id="rId13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rPr>
          <w:rFonts w:ascii="Microsoft YaHei" w:hAnsi="Microsoft YaHei" w:eastAsia="Microsoft YaHei"/>
          <w:b w:val="0"/>
          <w:color w:val="4B5563"/>
          <w:sz w:val="17"/>
        </w:rPr>
        <w:t xml:space="preserve">[6] OpenAI：GPT-6.1 Sol 模型与 Codex 可用性  </w:t>
      </w:r>
      <w:hyperlink r:id="rId14">
        <w:r>
          <w:rPr>
            <w:rFonts w:eastAsia="Microsoft YaHei" w:ascii="Microsoft YaHei"/>
            <w:color w:val="1F4E79"/>
            <w:u w:val="single"/>
          </w:rPr>
          <w:t>官方资料</w:t>
        </w:r>
      </w:hyperlink>
    </w:p>
    <w:p>
      <w:pPr>
        <w:spacing w:after="0" w:line="240" w:lineRule="auto"/>
        <w:ind w:left="173"/>
      </w:pPr>
      <w:r>
        <w:t>[7] DeepSeek API：V4.1-Flash 公告（含 V4 Pro 路由说明） https://api-docs.deepseek.com/zh-cn/news/news260910/</w:t>
      </w:r>
    </w:p>
    <w:p>
      <w:pPr/>
      <w:r>
        <w:t>[8] DeepSeek API：更新日志与当前模型价格（包含 V4 Pro API 继续提供及 V4-Pro-0813 信息） https://api-docs.deepseek.com/zh-cn/updates/ ; https://api-docs.deepseek.com/zh-cn/quick_start/pricing/</w:t>
      </w:r>
    </w:p>
    <w:p>
      <w:pPr/>
      <w:r>
        <w:t>[9] Kimi API：K3 模型定位与 API 价格说明 https://www.kimi.ai/help/kimi-api/api-overview ; https://www.kimi.ai/help/kimi-api/api-pricing</w:t>
      </w:r>
    </w:p>
    <w:p>
      <w:pPr/>
      <w:r>
        <w:t>[10] OpenAI API：GPT-6.1 Sol 模型资料与价格 https://developers.openai.com/api/docs/models/gpt-6.1-sol</w:t>
      </w:r>
    </w:p>
    <w:p>
      <w:r>
        <w:t>[11] OpenCode：OpenAI Provider 的 ChatGPT Plus/Pro 登录 https://opencode.ai/docs/providers/</w:t>
      </w:r>
    </w:p>
    <w:p>
      <w:r>
        <w:t>[12] OpenAI：在其他应用中使用 ChatGPT 计划（无需 API Key） https://help.openai.com/en/articles/20001542-using-your-chatgpt-plan-in-other-apps-and-sites</w:t>
      </w:r>
    </w:p>
    <w:sectPr w:rsidR="00FC693F" w:rsidRPr="0006063C" w:rsidSect="00034616">
      <w:footerReference w:type="default" r:id="rId16"/>
      <w:pgSz w:w="11909" w:h="16834"/>
      <w:pgMar w:top="893" w:right="1037" w:bottom="893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60"/>
      <w:jc w:val="center"/>
    </w:pPr>
    <w:r>
      <w:rPr>
        <w:rFonts w:ascii="Microsoft YaHei" w:hAnsi="Microsoft YaHei" w:eastAsia="Microsoft YaHei"/>
        <w:b w:val="0"/>
        <w:color w:val="4B5563"/>
        <w:sz w:val="16"/>
      </w:rPr>
      <w:t xml:space="preserve">多智能体协同开发系统 | MVP 方案     ·  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  <w:color w:val="111827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docs.opencode.ai/docs/windows-wsl/" TargetMode="External"/><Relationship Id="rId10" Type="http://schemas.openxmlformats.org/officeDocument/2006/relationships/hyperlink" Target="https://docs.opencode.ai/docs/permissions/" TargetMode="External"/><Relationship Id="rId11" Type="http://schemas.openxmlformats.org/officeDocument/2006/relationships/hyperlink" Target="https://github.com/addyosmani/agent-skills" TargetMode="External"/><Relationship Id="rId12" Type="http://schemas.openxmlformats.org/officeDocument/2006/relationships/hyperlink" Target="https://github.com/microsoft/playwright-mcp" TargetMode="External"/><Relationship Id="rId13" Type="http://schemas.openxmlformats.org/officeDocument/2006/relationships/hyperlink" Target="https://docs.opencode.ai/docs/providers/" TargetMode="External"/><Relationship Id="rId14" Type="http://schemas.openxmlformats.org/officeDocument/2006/relationships/hyperlink" Target="https://learn.chatgpt.com/docs/models" TargetMode="External"/><Relationship Id="rId15" Type="http://schemas.openxmlformats.org/officeDocument/2006/relationships/hyperlink" Target="https://deepseek.com/en/news/deepseek-v4-1-flash/" TargetMode="External"/><Relationship Id="rId1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