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韩啸合伙人激励一揽子协议规划最终方案"/>
    <w:p>
      <w:pPr>
        <w:pStyle w:val="2"/>
      </w:pPr>
      <w:r>
        <w:t xml:space="preserve">《韩啸合伙人激励一揽子协议规划最终方案》</w:t>
      </w:r>
    </w:p>
    <w:p>
      <w:pPr>
        <w:pStyle w:val="FirstParagraph"/>
      </w:pPr>
      <w:r>
        <w:t xml:space="preserve">基于用户提供的《【定稿】韩啸长期激励方案》《韩啸团队股权架构》及相关风险与执行分析材料，形成一揽子协议规划最终方案如下：</w:t>
      </w:r>
    </w:p>
    <w:p>
      <w:r>
        <w:pict>
          <v:rect style="width:0;height:1.5pt" o:hralign="center" o:hrstd="t" o:hr="t"/>
        </w:pict>
      </w:r>
    </w:p>
    <w:bookmarkStart w:id="20" w:name="一总体目标"/>
    <w:p>
      <w:pPr>
        <w:pStyle w:val="3"/>
      </w:pPr>
      <w:r>
        <w:t xml:space="preserve">一、总体目标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激励有效</w:t>
      </w:r>
      <w:r>
        <w:t xml:space="preserve">：通过“股权+分红+超额分享”三层机制，实现对韩啸及其团队的全周期、高强度激励；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治理有序</w:t>
      </w:r>
      <w:r>
        <w:t xml:space="preserve">：明确资本方（恺斯辰）与经营方（韩啸）的权责边界，实现“重大事项管控、日常经营授权”；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风险可控</w:t>
      </w:r>
      <w:r>
        <w:t xml:space="preserve">：系统性覆盖控制权冲突、合资公司僵局、股权稀释、人才流失等核心风险；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执行高效</w:t>
      </w:r>
      <w:r>
        <w:t xml:space="preserve">：协议条款清晰、签署流程简洁、管理成本可控，为后续融资及IPO奠定合规基础。</w:t>
      </w:r>
    </w:p>
    <w:p>
      <w:r>
        <w:pict>
          <v:rect style="width:0;height:1.5pt" o:hralign="center" o:hrstd="t" o:hr="t"/>
        </w:pict>
      </w:r>
    </w:p>
    <w:bookmarkEnd w:id="20"/>
    <w:bookmarkStart w:id="28" w:name="二协议体系规划"/>
    <w:p>
      <w:pPr>
        <w:pStyle w:val="3"/>
      </w:pPr>
      <w:r>
        <w:t xml:space="preserve">二、协议体系规划</w:t>
      </w:r>
    </w:p>
    <w:bookmarkStart w:id="21" w:name="一绿融创合股东协议"/>
    <w:p>
      <w:pPr>
        <w:pStyle w:val="4"/>
      </w:pPr>
      <w:r>
        <w:t xml:space="preserve">（一）《绿融创合股东协议》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：恺斯辰企管（或其指定主体）、韩啸（通过持股平台）、资源贡献者代持主体、员工持股平台 GP。</w:t>
      </w:r>
      <w:r>
        <w:br/>
      </w:r>
      <w:r>
        <w:rPr>
          <w:bCs/>
          <w:b/>
        </w:rPr>
        <w:t xml:space="preserve">定位</w:t>
      </w:r>
      <w:r>
        <w:t xml:space="preserve">：本协议为整个合伙人方案的顶层治理宪法，统领其他协议。</w:t>
      </w:r>
    </w:p>
    <w:p>
      <w:pPr>
        <w:pStyle w:val="7"/>
      </w:pPr>
      <w:r>
        <w:rPr>
          <w:bCs/>
          <w:b/>
        </w:rPr>
        <w:t xml:space="preserve">核心条款</w:t>
      </w:r>
      <w:r>
        <w:t xml:space="preserve">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股权结构确认</w:t>
      </w:r>
    </w:p>
    <w:p>
      <w:pPr>
        <w:numPr>
          <w:ilvl w:val="1"/>
          <w:numId w:val="1003"/>
        </w:numPr>
        <w:pStyle w:val="Compact"/>
      </w:pPr>
      <w:r>
        <w:t xml:space="preserve">韩啸通过持股平台持有40%限制性股权；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恺斯辰通过直接持股及GP控制合计持有60%表决权。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控制权边界限定</w:t>
      </w:r>
      <w:r>
        <w:br/>
      </w:r>
      <w:r>
        <w:t xml:space="preserve">恺斯辰60%表决权仅适用于以下重大事项：</w:t>
      </w:r>
    </w:p>
    <w:p>
      <w:pPr>
        <w:numPr>
          <w:ilvl w:val="1"/>
          <w:numId w:val="1004"/>
        </w:numPr>
        <w:pStyle w:val="Compact"/>
      </w:pPr>
      <w:r>
        <w:t xml:space="preserve">公司IPO、并购、清算或控制权变更；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修改公司章程；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增资、减资、合并、分立；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对外提供超过公司净资产10%的担保或借款。</w:t>
      </w:r>
      <w:r>
        <w:br/>
      </w:r>
      <w:r>
        <w:t xml:space="preserve">其余事项（包括年度预算、高管任免、日常经营决策等），恺斯辰承诺与韩啸保持一致行动，或默认授权韩啸团队决策。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动态分红机制（优化版）</w:t>
      </w:r>
    </w:p>
    <w:p>
      <w:pPr>
        <w:numPr>
          <w:ilvl w:val="1"/>
          <w:numId w:val="1005"/>
        </w:numPr>
        <w:pStyle w:val="Compact"/>
      </w:pPr>
      <w:r>
        <w:t xml:space="preserve">净利润 ≤ 300万元：韩啸团队享有70%分红；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300万元 &lt; 净利润 ≤ 500万元：分红比例线性递减，公式为：</w:t>
      </w:r>
      <w:r>
        <w:br/>
      </w:r>
      <w:r>
        <w:rPr>
          <w:bCs/>
          <w:b/>
        </w:rPr>
        <w:t xml:space="preserve">70% - (净利润 - 300万) / 200万 × 20%</w:t>
      </w:r>
      <w:r>
        <w:t xml:space="preserve">；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净利润 &gt; 500万元：按实际股权比例分配；</w:t>
      </w:r>
      <w:r>
        <w:br/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增设“超额利润分享池”</w:t>
      </w:r>
      <w:r>
        <w:t xml:space="preserve">：净利润超过300万元部分的20%，由韩啸团队内部二次分配，用于奖励超额价值创造。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僵局解决机制</w:t>
      </w:r>
      <w:r>
        <w:br/>
      </w:r>
      <w:r>
        <w:t xml:space="preserve">若股东会在重大事项上连续两次无法形成有效决议，任一方可启动第三方调解；调解失败后，可触发强制收购条款（Drag-Along / Tag-Along），由第三方评估机构确定股权公允价值。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反稀释保护</w:t>
      </w:r>
      <w:r>
        <w:br/>
      </w:r>
      <w:r>
        <w:t xml:space="preserve">后续融资导致韩啸股权稀释超过15%时，可通过增发、现金补偿或调整期权池等方式予以补偿。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争议解决</w:t>
      </w:r>
      <w:r>
        <w:br/>
      </w:r>
      <w:r>
        <w:t xml:space="preserve">约定提交</w:t>
      </w:r>
      <w:r>
        <w:rPr>
          <w:bCs/>
          <w:b/>
        </w:rPr>
        <w:t xml:space="preserve">中国国际经济贸易仲裁委员会</w:t>
      </w:r>
      <w:r>
        <w:t xml:space="preserve">（CIETAC）。</w:t>
      </w:r>
    </w:p>
    <w:p>
      <w:r>
        <w:pict>
          <v:rect style="width:0;height:1.5pt" o:hralign="center" o:hrstd="t" o:hr="t"/>
        </w:pict>
      </w:r>
    </w:p>
    <w:bookmarkEnd w:id="21"/>
    <w:bookmarkStart w:id="22" w:name="二限制性股权授予协议"/>
    <w:p>
      <w:pPr>
        <w:pStyle w:val="4"/>
      </w:pPr>
      <w:r>
        <w:t xml:space="preserve">（二）《限制性股权授予协议》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：绿融创合 vs 韩啸（或其持股平台）</w:t>
      </w:r>
      <w:r>
        <w:br/>
      </w:r>
      <w:r>
        <w:rPr>
          <w:bCs/>
          <w:b/>
        </w:rPr>
        <w:t xml:space="preserve">定位</w:t>
      </w:r>
      <w:r>
        <w:t xml:space="preserve">：将激励方案中的股权授予条款具体化、可执行。</w:t>
      </w:r>
    </w:p>
    <w:p>
      <w:pPr>
        <w:pStyle w:val="7"/>
      </w:pPr>
      <w:r>
        <w:rPr>
          <w:bCs/>
          <w:b/>
        </w:rPr>
        <w:t xml:space="preserve">核心条款</w:t>
      </w:r>
      <w:r>
        <w:t xml:space="preserve">：</w:t>
      </w:r>
      <w:r>
        <w:br/>
      </w:r>
      <w:r>
        <w:t xml:space="preserve">- 授予40%限制性股权，1元/股出资；</w:t>
      </w:r>
      <w:r>
        <w:br/>
      </w:r>
      <w:r>
        <w:t xml:space="preserve">- 归属周期：4年，1年悬崖期（25%），之后每年25%匀速归属；</w:t>
      </w:r>
      <w:r>
        <w:br/>
      </w:r>
      <w:r>
        <w:t xml:space="preserve">- 归属前提：持续劳动关系；</w:t>
      </w:r>
      <w:r>
        <w:br/>
      </w:r>
      <w:r>
        <w:t xml:space="preserve">- 离职处理：未归属部分自动作废；已归属部分可由公司按授予价或公允价×折扣回购；</w:t>
      </w:r>
      <w:r>
        <w:br/>
      </w:r>
      <w:r>
        <w:t xml:space="preserve">- 加速归属：控制权变更（并购/IPO）时，未归属股权100%加速归属。</w:t>
      </w:r>
    </w:p>
    <w:p>
      <w:r>
        <w:pict>
          <v:rect style="width:0;height:1.5pt" o:hralign="center" o:hrstd="t" o:hr="t"/>
        </w:pict>
      </w:r>
    </w:p>
    <w:bookmarkEnd w:id="22"/>
    <w:bookmarkStart w:id="23" w:name="三绿融创合持股平台合伙协议"/>
    <w:p>
      <w:pPr>
        <w:pStyle w:val="4"/>
      </w:pPr>
      <w:r>
        <w:t xml:space="preserve">（三）《绿融创合持股平台合伙协议》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：GP1/GP2（恺斯辰指定）、LP1（资源方或代持）、LP2（韩啸团队持股平台）</w:t>
      </w:r>
      <w:r>
        <w:br/>
      </w:r>
      <w:r>
        <w:rPr>
          <w:bCs/>
          <w:b/>
        </w:rPr>
        <w:t xml:space="preserve">定位</w:t>
      </w:r>
      <w:r>
        <w:t xml:space="preserve">：实现韩啸40%股权的间接持有与未来团队激励载体。</w:t>
      </w:r>
    </w:p>
    <w:p>
      <w:pPr>
        <w:pStyle w:val="7"/>
      </w:pPr>
      <w:r>
        <w:rPr>
          <w:bCs/>
          <w:b/>
        </w:rPr>
        <w:t xml:space="preserve">核心条款</w:t>
      </w:r>
      <w:r>
        <w:t xml:space="preserve">：</w:t>
      </w:r>
      <w:r>
        <w:br/>
      </w:r>
      <w:r>
        <w:t xml:space="preserve">- GP控制权归属恺斯辰，确保60%控制权稳定；</w:t>
      </w:r>
      <w:r>
        <w:br/>
      </w:r>
      <w:r>
        <w:t xml:space="preserve">- LP2预留10%份额用于未来核心骨干激励；</w:t>
      </w:r>
      <w:r>
        <w:br/>
      </w:r>
      <w:r>
        <w:t xml:space="preserve">- 资源贡献者未确定前，由恺斯辰代持LP1，后续通过份额转让授予；</w:t>
      </w:r>
      <w:r>
        <w:br/>
      </w:r>
      <w:r>
        <w:t xml:space="preserve">- 退出时合伙份额可由公司或GP按约定价格回购。</w:t>
      </w:r>
    </w:p>
    <w:p>
      <w:r>
        <w:pict>
          <v:rect style="width:0;height:1.5pt" o:hralign="center" o:hrstd="t" o:hr="t"/>
        </w:pict>
      </w:r>
    </w:p>
    <w:bookmarkEnd w:id="23"/>
    <w:bookmarkStart w:id="24" w:name="四经营授权清单与投资人管控事项清单"/>
    <w:p>
      <w:pPr>
        <w:pStyle w:val="4"/>
      </w:pPr>
      <w:r>
        <w:t xml:space="preserve">（四）《经营授权清单》与《投资人管控事项清单》</w:t>
      </w:r>
    </w:p>
    <w:p>
      <w:pPr>
        <w:pStyle w:val="FirstParagraph"/>
      </w:pPr>
      <w:r>
        <w:rPr>
          <w:bCs/>
          <w:b/>
        </w:rPr>
        <w:t xml:space="preserve">发布方</w:t>
      </w:r>
      <w:r>
        <w:t xml:space="preserve">：绿融创合董事会 / 恺斯辰企管</w:t>
      </w:r>
      <w:r>
        <w:br/>
      </w:r>
      <w:r>
        <w:rPr>
          <w:bCs/>
          <w:b/>
        </w:rPr>
        <w:t xml:space="preserve">定位</w:t>
      </w:r>
      <w:r>
        <w:t xml:space="preserve">：将抽象治理原则转化为可操作的权力地图。</w:t>
      </w:r>
    </w:p>
    <w:p>
      <w:pPr>
        <w:pStyle w:val="7"/>
      </w:pPr>
      <w:r>
        <w:rPr>
          <w:bCs/>
          <w:b/>
        </w:rPr>
        <w:t xml:space="preserve">内容要点</w:t>
      </w:r>
      <w:r>
        <w:t xml:space="preserve">：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《经营授权清单》</w:t>
      </w:r>
      <w:r>
        <w:t xml:space="preserve">：明确韩啸团队可自主决策事项，包括：</w:t>
      </w:r>
      <w:r>
        <w:br/>
      </w:r>
      <w:r>
        <w:t xml:space="preserve">- 年度经营计划与预算制定与执行；</w:t>
      </w:r>
      <w:r>
        <w:br/>
      </w:r>
      <w:r>
        <w:t xml:space="preserve">- 部门负责人任免；</w:t>
      </w:r>
      <w:r>
        <w:br/>
      </w:r>
      <w:r>
        <w:t xml:space="preserve">- 单笔合同 ≤ 50万元的签署；</w:t>
      </w:r>
      <w:r>
        <w:br/>
      </w:r>
      <w:r>
        <w:t xml:space="preserve">- 日常运营支出审批等。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《投资人管控事项清单》</w:t>
      </w:r>
      <w:r>
        <w:t xml:space="preserve">：仅保留《股东协议》约定的5类重大事项，其余事项默认不干预。</w:t>
      </w:r>
    </w:p>
    <w:p>
      <w:r>
        <w:pict>
          <v:rect style="width:0;height:1.5pt" o:hralign="center" o:hrstd="t" o:hr="t"/>
        </w:pict>
      </w:r>
    </w:p>
    <w:bookmarkEnd w:id="24"/>
    <w:bookmarkStart w:id="25" w:name="五绿融创新合资协议"/>
    <w:p>
      <w:pPr>
        <w:pStyle w:val="4"/>
      </w:pPr>
      <w:r>
        <w:t xml:space="preserve">（五）《绿融创新合资协议》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：绿融创合（66%）、上海越见（34%）</w:t>
      </w:r>
      <w:r>
        <w:br/>
      </w:r>
      <w:r>
        <w:rPr>
          <w:bCs/>
          <w:b/>
        </w:rPr>
        <w:t xml:space="preserve">定位</w:t>
      </w:r>
      <w:r>
        <w:t xml:space="preserve">：防范合资公司治理僵局，保障绿融创合股东权益。</w:t>
      </w:r>
    </w:p>
    <w:p>
      <w:pPr>
        <w:pStyle w:val="7"/>
      </w:pPr>
      <w:r>
        <w:rPr>
          <w:bCs/>
          <w:b/>
        </w:rPr>
        <w:t xml:space="preserve">关键条款</w:t>
      </w:r>
      <w:r>
        <w:t xml:space="preserve">：</w:t>
      </w:r>
      <w:r>
        <w:br/>
      </w:r>
      <w:r>
        <w:t xml:space="preserve">- 董事会席位：绿融创合占多数（如2:1）；</w:t>
      </w:r>
      <w:r>
        <w:br/>
      </w:r>
      <w:r>
        <w:t xml:space="preserve">- 一票否决权限定于法定事项，不得扩大解释；</w:t>
      </w:r>
      <w:r>
        <w:br/>
      </w:r>
      <w:r>
        <w:t xml:space="preserve">- 僵局解决：90天协商 → 第三方仲裁 → 强制拖售（Drag-Along）；</w:t>
      </w:r>
      <w:r>
        <w:br/>
      </w:r>
      <w:r>
        <w:t xml:space="preserve">- 利润分配：明确绿融创合所获利润按其内部《股东协议》规则再分配；</w:t>
      </w:r>
      <w:r>
        <w:br/>
      </w:r>
      <w:r>
        <w:t xml:space="preserve">- 业务独立性：鼓励绿融创新自拓业务，3年内独立项目占比目标 ≥ 30%。</w:t>
      </w:r>
    </w:p>
    <w:p>
      <w:r>
        <w:pict>
          <v:rect style="width:0;height:1.5pt" o:hralign="center" o:hrstd="t" o:hr="t"/>
        </w:pict>
      </w:r>
    </w:p>
    <w:bookmarkEnd w:id="25"/>
    <w:bookmarkStart w:id="26" w:name="六超额利润分享池实施细则"/>
    <w:p>
      <w:pPr>
        <w:pStyle w:val="4"/>
      </w:pPr>
      <w:r>
        <w:t xml:space="preserve">（六）《超额利润分享池实施细则》</w:t>
      </w:r>
    </w:p>
    <w:p>
      <w:pPr>
        <w:pStyle w:val="FirstParagraph"/>
      </w:pPr>
      <w:r>
        <w:rPr>
          <w:bCs/>
          <w:b/>
        </w:rPr>
        <w:t xml:space="preserve">制定方</w:t>
      </w:r>
      <w:r>
        <w:t xml:space="preserve">：绿融创合董事会</w:t>
      </w:r>
      <w:r>
        <w:br/>
      </w:r>
      <w:r>
        <w:rPr>
          <w:bCs/>
          <w:b/>
        </w:rPr>
        <w:t xml:space="preserve">定位</w:t>
      </w:r>
      <w:r>
        <w:t xml:space="preserve">：落地动态分红中的短期激励增强机制。</w:t>
      </w:r>
    </w:p>
    <w:p>
      <w:pPr>
        <w:pStyle w:val="7"/>
      </w:pPr>
      <w:r>
        <w:rPr>
          <w:bCs/>
          <w:b/>
        </w:rPr>
        <w:t xml:space="preserve">核心规则</w:t>
      </w:r>
      <w:r>
        <w:t xml:space="preserve">：</w:t>
      </w:r>
      <w:r>
        <w:br/>
      </w:r>
      <w:r>
        <w:t xml:space="preserve">- 超额利润 = 净利润 - 300万元；</w:t>
      </w:r>
      <w:r>
        <w:br/>
      </w:r>
      <w:r>
        <w:t xml:space="preserve">- 提取比例：20%；</w:t>
      </w:r>
      <w:r>
        <w:br/>
      </w:r>
      <w:r>
        <w:t xml:space="preserve">- 分配方案：由韩啸提报，董事会备案；</w:t>
      </w:r>
      <w:r>
        <w:br/>
      </w:r>
      <w:r>
        <w:t xml:space="preserve">- 发放前提：公司现金流充足、无重大债务或合规风险。</w:t>
      </w:r>
    </w:p>
    <w:p>
      <w:r>
        <w:pict>
          <v:rect style="width:0;height:1.5pt" o:hralign="center" o:hrstd="t" o:hr="t"/>
        </w:pict>
      </w:r>
    </w:p>
    <w:bookmarkEnd w:id="26"/>
    <w:bookmarkStart w:id="27" w:name="七知识服务积分换股协议"/>
    <w:p>
      <w:pPr>
        <w:pStyle w:val="4"/>
      </w:pPr>
      <w:r>
        <w:t xml:space="preserve">（七）《知识服务积分换股协议》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：金融科技公司 vs 韩啸</w:t>
      </w:r>
      <w:r>
        <w:br/>
      </w:r>
      <w:r>
        <w:rPr>
          <w:bCs/>
          <w:b/>
        </w:rPr>
        <w:t xml:space="preserve">定位</w:t>
      </w:r>
      <w:r>
        <w:t xml:space="preserve">：支撑“积分换股”模式的法律基础。</w:t>
      </w:r>
    </w:p>
    <w:p>
      <w:pPr>
        <w:pStyle w:val="7"/>
      </w:pPr>
      <w:r>
        <w:rPr>
          <w:bCs/>
          <w:b/>
        </w:rPr>
        <w:t xml:space="preserve">要点</w:t>
      </w:r>
      <w:r>
        <w:t xml:space="preserve">：</w:t>
      </w:r>
      <w:r>
        <w:br/>
      </w:r>
      <w:r>
        <w:t xml:space="preserve">- 知识服务内容、质量标准、交付周期明确；</w:t>
      </w:r>
      <w:r>
        <w:br/>
      </w:r>
      <w:r>
        <w:t xml:space="preserve">- 积分计算规则量化（如每完成1个BA文档=10分）；</w:t>
      </w:r>
      <w:r>
        <w:br/>
      </w:r>
      <w:r>
        <w:t xml:space="preserve">- 积分可兑换为金融科技公司期权，行权条件与归属期按其《期权计划》执行；</w:t>
      </w:r>
      <w:r>
        <w:br/>
      </w:r>
      <w:r>
        <w:t xml:space="preserve">- 知识产权归属金融科技公司，韩啸享有署名权与激励权益。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三协议签署逻辑与时间安排"/>
    <w:p>
      <w:pPr>
        <w:pStyle w:val="3"/>
      </w:pPr>
      <w:r>
        <w:t xml:space="preserve">三、协议签署逻辑与时间安排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T+0（奠基期）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《绿融创合股东协议》</w:t>
            </w:r>
            <w:r>
              <w:t xml:space="preserve">《限制性股权授予协议》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确立治理与激励总框架，锁定韩啸权益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T+1周（治理落地）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《持股平台合伙协议》</w:t>
            </w:r>
            <w:r>
              <w:t xml:space="preserve">《经营授权清单》</w:t>
            </w:r>
            <w:r>
              <w:t xml:space="preserve">《投资人管控事项清单》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完成股权结构搭建与权力边界划分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T+2周（业务协同）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《绿融创新合资协议》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合资公司设立前签署，前置风险防控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T+3周（激励延伸）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《超额利润分享池实施细则》</w:t>
            </w:r>
            <w:r>
              <w:t xml:space="preserve">《知识服务积分换股协议》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完善短期激励与跨主体知识绑定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持续更新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《员工期权池管理规则》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团队扩张时启用，保持激励连续性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四关键风险控制措施"/>
    <w:p>
      <w:pPr>
        <w:pStyle w:val="3"/>
      </w:pPr>
      <w:r>
        <w:t xml:space="preserve">四、关键风险控制措施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控制权冲突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《股东协议》严格限定60%投票权范围 + 双清单机制确保经营自主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合资公司僵局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《合资协议》设“协商-仲裁-强制出售”三阶解决机制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股权稀释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反稀释条款 + 滚动期权池（年净利润5%补充）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激励失效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限制性股权 + 动态分红 + 超额分享池 三重驱动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退出纠纷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明确回购定价机制（授予价/净资产/第三方估值三选一）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所有授权事项清单化、数字化、可审计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五决策依据说明"/>
    <w:p>
      <w:pPr>
        <w:pStyle w:val="3"/>
      </w:pPr>
      <w:r>
        <w:t xml:space="preserve">五、决策依据说明</w:t>
      </w:r>
    </w:p>
    <w:p>
      <w:pPr>
        <w:pStyle w:val="FirstParagraph"/>
      </w:pPr>
      <w:r>
        <w:t xml:space="preserve">本最终方案综合采纳三家初步方案之精华：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战略完备性</w:t>
      </w:r>
      <w:r>
        <w:t xml:space="preserve">：采纳</w:t>
      </w:r>
      <w:r>
        <w:rPr>
          <w:bCs/>
          <w:b/>
        </w:rPr>
        <w:t xml:space="preserve">方案A</w:t>
      </w:r>
      <w:r>
        <w:t xml:space="preserve">的“三位一体治理闭环”理念，构建“激励-治理-退出”系统架构，确保多主体（绿融创合、绿融创新、金融科技公司）协同有序；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风险控制力</w:t>
      </w:r>
      <w:r>
        <w:t xml:space="preserve">：融合</w:t>
      </w:r>
      <w:r>
        <w:rPr>
          <w:bCs/>
          <w:b/>
        </w:rPr>
        <w:t xml:space="preserve">方案B</w:t>
      </w:r>
      <w:r>
        <w:t xml:space="preserve">的风险识别深度与合规导向，将合资僵局、控制权冲突、税务合规等高危点转化为具法律效力的协议条款，并统一争议解决机制；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执行可行性</w:t>
      </w:r>
      <w:r>
        <w:t xml:space="preserve">：吸收</w:t>
      </w:r>
      <w:r>
        <w:rPr>
          <w:bCs/>
          <w:b/>
        </w:rPr>
        <w:t xml:space="preserve">方案C</w:t>
      </w:r>
      <w:r>
        <w:t xml:space="preserve">的“最小协议数量、最大执行清晰度”原则，通过《双清单机制》《分红测算模板》《签署路线图》等工具，大幅降低落地成本与沟通摩擦。</w:t>
      </w:r>
    </w:p>
    <w:p>
      <w:pPr>
        <w:pStyle w:val="FirstParagraph"/>
      </w:pPr>
      <w:r>
        <w:t xml:space="preserve">最终方案在</w:t>
      </w:r>
      <w:r>
        <w:rPr>
          <w:bCs/>
          <w:b/>
        </w:rPr>
        <w:t xml:space="preserve">激励强度、控制安全、风险隔离、执行效率</w:t>
      </w:r>
      <w:r>
        <w:t xml:space="preserve">四者间达成最优平衡，符合复杂商业协议对</w:t>
      </w:r>
      <w:r>
        <w:rPr>
          <w:bCs/>
          <w:b/>
        </w:rPr>
        <w:t xml:space="preserve">系统性、严谨性与实操性</w:t>
      </w:r>
      <w:r>
        <w:t xml:space="preserve">的全部要求，可作为绿融创合合伙人机制的制度基石。# 《韩啸合伙人激励一揽子协议规划最终方案》</w:t>
      </w:r>
    </w:p>
    <w:p>
      <w:pPr>
        <w:pStyle w:val="7"/>
      </w:pPr>
      <w:r>
        <w:t xml:space="preserve">基于用户提供的《【定稿】韩啸长期激励方案》《韩啸团队股权架构》及相关风险与执行分析材料，形成一揽子协议规划最终方案如下：</w:t>
      </w:r>
    </w:p>
    <w:p>
      <w:r>
        <w:pict>
          <v:rect style="width:0;height:1.5pt" o:hralign="center" o:hrstd="t" o:hr="t"/>
        </w:pict>
      </w:r>
    </w:p>
    <w:bookmarkEnd w:id="31"/>
    <w:bookmarkStart w:id="32" w:name="一总体目标-1"/>
    <w:p>
      <w:pPr>
        <w:pStyle w:val="3"/>
      </w:pPr>
      <w:r>
        <w:t xml:space="preserve">一、总体目标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激励有效</w:t>
      </w:r>
      <w:r>
        <w:t xml:space="preserve">：通过“股权+分红+超额分享”三层机制，实现对韩啸及其团队的全周期、高强度激励；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治理有序</w:t>
      </w:r>
      <w:r>
        <w:t xml:space="preserve">：明确资本方（恺斯辰）与经营方（韩啸）的权责边界，实现“重大事项管控、日常经营授权”；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风险可控</w:t>
      </w:r>
      <w:r>
        <w:t xml:space="preserve">：系统性覆盖控制权冲突、合资公司僵局、股权稀释、人才流失等核心风险；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执行高效</w:t>
      </w:r>
      <w:r>
        <w:t xml:space="preserve">：协议条款清晰、签署流程简洁、管理成本可控，为后续融资及IPO奠定合规基础。</w:t>
      </w:r>
    </w:p>
    <w:p>
      <w:r>
        <w:pict>
          <v:rect style="width:0;height:1.5pt" o:hralign="center" o:hrstd="t" o:hr="t"/>
        </w:pict>
      </w:r>
    </w:p>
    <w:bookmarkEnd w:id="32"/>
    <w:bookmarkStart w:id="40" w:name="二协议体系规划-1"/>
    <w:p>
      <w:pPr>
        <w:pStyle w:val="3"/>
      </w:pPr>
      <w:r>
        <w:t xml:space="preserve">二、协议体系规划</w:t>
      </w:r>
    </w:p>
    <w:bookmarkStart w:id="33" w:name="一绿融创合股东协议-1"/>
    <w:p>
      <w:pPr>
        <w:pStyle w:val="4"/>
      </w:pPr>
      <w:r>
        <w:t xml:space="preserve">（一）《绿融创合股东协议》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：恺斯辰企管（或其指定主体）、韩啸（通过持股平台）、资源贡献者代持主体、员工持股平台 GP。</w:t>
      </w:r>
      <w:r>
        <w:br/>
      </w:r>
      <w:r>
        <w:rPr>
          <w:bCs/>
          <w:b/>
        </w:rPr>
        <w:t xml:space="preserve">定位</w:t>
      </w:r>
      <w:r>
        <w:t xml:space="preserve">：本协议为整个合伙人方案的顶层治理宪法，统领其他协议。</w:t>
      </w:r>
    </w:p>
    <w:p>
      <w:pPr>
        <w:pStyle w:val="7"/>
      </w:pPr>
      <w:r>
        <w:rPr>
          <w:bCs/>
          <w:b/>
        </w:rPr>
        <w:t xml:space="preserve">核心条款</w:t>
      </w:r>
      <w:r>
        <w:t xml:space="preserve">：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股权结构确认</w:t>
      </w:r>
    </w:p>
    <w:p>
      <w:pPr>
        <w:numPr>
          <w:ilvl w:val="1"/>
          <w:numId w:val="1009"/>
        </w:numPr>
        <w:pStyle w:val="Compact"/>
      </w:pPr>
      <w:r>
        <w:t xml:space="preserve">韩啸通过持股平台持有40%限制性股权；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恺斯辰通过直接持股及GP控制合计持有60%表决权。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控制权边界限定</w:t>
      </w:r>
      <w:r>
        <w:br/>
      </w:r>
      <w:r>
        <w:t xml:space="preserve">恺斯辰60%表决权仅适用于以下重大事项：</w:t>
      </w:r>
    </w:p>
    <w:p>
      <w:pPr>
        <w:numPr>
          <w:ilvl w:val="1"/>
          <w:numId w:val="1010"/>
        </w:numPr>
        <w:pStyle w:val="Compact"/>
      </w:pPr>
      <w:r>
        <w:t xml:space="preserve">公司IPO、并购、清算或控制权变更；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修改公司章程；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增资、减资、合并、分立；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对外提供超过公司净资产10%的担保或借款。</w:t>
      </w:r>
      <w:r>
        <w:br/>
      </w:r>
      <w:r>
        <w:t xml:space="preserve">其余事项（包括年度预算、高管任免、日常经营决策等），恺斯辰承诺与韩啸保持一致行动，或默认授权韩啸团队决策。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动态分红机制（优化版）</w:t>
      </w:r>
    </w:p>
    <w:p>
      <w:pPr>
        <w:numPr>
          <w:ilvl w:val="1"/>
          <w:numId w:val="1011"/>
        </w:numPr>
        <w:pStyle w:val="Compact"/>
      </w:pPr>
      <w:r>
        <w:t xml:space="preserve">净利润 ≤ 300万元：韩啸团队享有70%分红；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300万元 &lt; 净利润 ≤ 500万元：分红比例线性递减，公式为：</w:t>
      </w:r>
      <w:r>
        <w:br/>
      </w:r>
      <w:r>
        <w:rPr>
          <w:bCs/>
          <w:b/>
        </w:rPr>
        <w:t xml:space="preserve">70% - (净利润 - 300万) / 200万 × 20%</w:t>
      </w:r>
      <w:r>
        <w:t xml:space="preserve">；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净利润 &gt; 500万元：按实际股权比例分配；</w:t>
      </w:r>
      <w:r>
        <w:br/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增设“超额利润分享池”</w:t>
      </w:r>
      <w:r>
        <w:t xml:space="preserve">：净利润超过300万元部分的20%，由韩啸团队内部二次分配，用于奖励超额价值创造。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僵局解决机制</w:t>
      </w:r>
      <w:r>
        <w:br/>
      </w:r>
      <w:r>
        <w:t xml:space="preserve">若股东会在重大事项上连续两次无法形成有效决议，任一方可启动第三方调解；调解失败后，可触发强制收购条款（Drag-Along / Tag-Along），由第三方评估机构确定股权公允价值。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反稀释保护</w:t>
      </w:r>
      <w:r>
        <w:br/>
      </w:r>
      <w:r>
        <w:t xml:space="preserve">后续融资导致韩啸股权稀释超过15%时，可通过增发、现金补偿或调整期权池等方式予以补偿。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争议解决</w:t>
      </w:r>
      <w:r>
        <w:br/>
      </w:r>
      <w:r>
        <w:t xml:space="preserve">约定提交</w:t>
      </w:r>
      <w:r>
        <w:rPr>
          <w:bCs/>
          <w:b/>
        </w:rPr>
        <w:t xml:space="preserve">中国国际经济贸易仲裁委员会</w:t>
      </w:r>
      <w:r>
        <w:t xml:space="preserve">（CIETAC）。</w:t>
      </w:r>
    </w:p>
    <w:p>
      <w:r>
        <w:pict>
          <v:rect style="width:0;height:1.5pt" o:hralign="center" o:hrstd="t" o:hr="t"/>
        </w:pict>
      </w:r>
    </w:p>
    <w:bookmarkEnd w:id="33"/>
    <w:bookmarkStart w:id="34" w:name="二限制性股权授予协议-1"/>
    <w:p>
      <w:pPr>
        <w:pStyle w:val="4"/>
      </w:pPr>
      <w:r>
        <w:t xml:space="preserve">（二）《限制性股权授予协议》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：绿融创合 vs 韩啸（或其持股平台）</w:t>
      </w:r>
      <w:r>
        <w:br/>
      </w:r>
      <w:r>
        <w:rPr>
          <w:bCs/>
          <w:b/>
        </w:rPr>
        <w:t xml:space="preserve">定位</w:t>
      </w:r>
      <w:r>
        <w:t xml:space="preserve">：将激励方案中的股权授予条款具体化、可执行。</w:t>
      </w:r>
    </w:p>
    <w:p>
      <w:pPr>
        <w:pStyle w:val="7"/>
      </w:pPr>
      <w:r>
        <w:rPr>
          <w:bCs/>
          <w:b/>
        </w:rPr>
        <w:t xml:space="preserve">核心条款</w:t>
      </w:r>
      <w:r>
        <w:t xml:space="preserve">：</w:t>
      </w:r>
      <w:r>
        <w:br/>
      </w:r>
      <w:r>
        <w:t xml:space="preserve">- 授予40%限制性股权，1元/股出资；</w:t>
      </w:r>
      <w:r>
        <w:br/>
      </w:r>
      <w:r>
        <w:t xml:space="preserve">- 归属周期：4年，1年悬崖期（25%），之后每年25%匀速归属；</w:t>
      </w:r>
      <w:r>
        <w:br/>
      </w:r>
      <w:r>
        <w:t xml:space="preserve">- 归属前提：持续劳动关系；</w:t>
      </w:r>
      <w:r>
        <w:br/>
      </w:r>
      <w:r>
        <w:t xml:space="preserve">- 离职处理：未归属部分自动作废；已归属部分可由公司按授予价或公允价×折扣回购；</w:t>
      </w:r>
      <w:r>
        <w:br/>
      </w:r>
      <w:r>
        <w:t xml:space="preserve">- 加速归属：控制权变更（并购/IPO）时，未归属股权100%加速归属。</w:t>
      </w:r>
    </w:p>
    <w:p>
      <w:r>
        <w:pict>
          <v:rect style="width:0;height:1.5pt" o:hralign="center" o:hrstd="t" o:hr="t"/>
        </w:pict>
      </w:r>
    </w:p>
    <w:bookmarkEnd w:id="34"/>
    <w:bookmarkStart w:id="35" w:name="三绿融创合持股平台合伙协议-1"/>
    <w:p>
      <w:pPr>
        <w:pStyle w:val="4"/>
      </w:pPr>
      <w:r>
        <w:t xml:space="preserve">（三）《绿融创合持股平台合伙协议》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：GP1/GP2（恺斯辰指定）、LP1（资源方或代持）、LP2（韩啸团队持股平台）</w:t>
      </w:r>
      <w:r>
        <w:br/>
      </w:r>
      <w:r>
        <w:rPr>
          <w:bCs/>
          <w:b/>
        </w:rPr>
        <w:t xml:space="preserve">定位</w:t>
      </w:r>
      <w:r>
        <w:t xml:space="preserve">：实现韩啸40%股权的间接持有与未来团队激励载体。</w:t>
      </w:r>
    </w:p>
    <w:p>
      <w:pPr>
        <w:pStyle w:val="7"/>
      </w:pPr>
      <w:r>
        <w:rPr>
          <w:bCs/>
          <w:b/>
        </w:rPr>
        <w:t xml:space="preserve">核心条款</w:t>
      </w:r>
      <w:r>
        <w:t xml:space="preserve">：</w:t>
      </w:r>
      <w:r>
        <w:br/>
      </w:r>
      <w:r>
        <w:t xml:space="preserve">- GP控制权归属恺斯辰，确保60%控制权稳定；</w:t>
      </w:r>
      <w:r>
        <w:br/>
      </w:r>
      <w:r>
        <w:t xml:space="preserve">- LP2预留10%份额用于未来核心骨干激励；</w:t>
      </w:r>
      <w:r>
        <w:br/>
      </w:r>
      <w:r>
        <w:t xml:space="preserve">- 资源贡献者未确定前，由恺斯辰代持LP1，后续通过份额转让授予；</w:t>
      </w:r>
      <w:r>
        <w:br/>
      </w:r>
      <w:r>
        <w:t xml:space="preserve">- 退出时合伙份额可由公司或GP按约定价格回购。</w:t>
      </w:r>
    </w:p>
    <w:p>
      <w:r>
        <w:pict>
          <v:rect style="width:0;height:1.5pt" o:hralign="center" o:hrstd="t" o:hr="t"/>
        </w:pict>
      </w:r>
    </w:p>
    <w:bookmarkEnd w:id="35"/>
    <w:bookmarkStart w:id="36" w:name="四经营授权清单与投资人管控事项清单-1"/>
    <w:p>
      <w:pPr>
        <w:pStyle w:val="4"/>
      </w:pPr>
      <w:r>
        <w:t xml:space="preserve">（四）《经营授权清单》与《投资人管控事项清单》</w:t>
      </w:r>
    </w:p>
    <w:p>
      <w:pPr>
        <w:pStyle w:val="FirstParagraph"/>
      </w:pPr>
      <w:r>
        <w:rPr>
          <w:bCs/>
          <w:b/>
        </w:rPr>
        <w:t xml:space="preserve">发布方</w:t>
      </w:r>
      <w:r>
        <w:t xml:space="preserve">：绿融创合董事会 / 恺斯辰企管</w:t>
      </w:r>
      <w:r>
        <w:br/>
      </w:r>
      <w:r>
        <w:rPr>
          <w:bCs/>
          <w:b/>
        </w:rPr>
        <w:t xml:space="preserve">定位</w:t>
      </w:r>
      <w:r>
        <w:t xml:space="preserve">：将抽象治理原则转化为可操作的权力地图。</w:t>
      </w:r>
    </w:p>
    <w:p>
      <w:pPr>
        <w:pStyle w:val="7"/>
      </w:pPr>
      <w:r>
        <w:rPr>
          <w:bCs/>
          <w:b/>
        </w:rPr>
        <w:t xml:space="preserve">内容要点</w:t>
      </w:r>
      <w:r>
        <w:t xml:space="preserve">：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《经营授权清单》</w:t>
      </w:r>
      <w:r>
        <w:t xml:space="preserve">：明确韩啸团队可自主决策事项，包括：</w:t>
      </w:r>
      <w:r>
        <w:br/>
      </w:r>
      <w:r>
        <w:t xml:space="preserve">- 年度经营计划与预算制定与执行；</w:t>
      </w:r>
      <w:r>
        <w:br/>
      </w:r>
      <w:r>
        <w:t xml:space="preserve">- 部门负责人任免；</w:t>
      </w:r>
      <w:r>
        <w:br/>
      </w:r>
      <w:r>
        <w:t xml:space="preserve">- 单笔合同 ≤ 50万元的签署；</w:t>
      </w:r>
      <w:r>
        <w:br/>
      </w:r>
      <w:r>
        <w:t xml:space="preserve">- 日常运营支出审批等。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《投资人管控事项清单》</w:t>
      </w:r>
      <w:r>
        <w:t xml:space="preserve">：仅保留《股东协议》约定的5类重大事项，其余事项默认不干预。</w:t>
      </w:r>
    </w:p>
    <w:p>
      <w:r>
        <w:pict>
          <v:rect style="width:0;height:1.5pt" o:hralign="center" o:hrstd="t" o:hr="t"/>
        </w:pict>
      </w:r>
    </w:p>
    <w:bookmarkEnd w:id="36"/>
    <w:bookmarkStart w:id="37" w:name="五绿融创新合资协议-1"/>
    <w:p>
      <w:pPr>
        <w:pStyle w:val="4"/>
      </w:pPr>
      <w:r>
        <w:t xml:space="preserve">（五）《绿融创新合资协议》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：绿融创合（66%）、上海越见（34%）</w:t>
      </w:r>
      <w:r>
        <w:br/>
      </w:r>
      <w:r>
        <w:rPr>
          <w:bCs/>
          <w:b/>
        </w:rPr>
        <w:t xml:space="preserve">定位</w:t>
      </w:r>
      <w:r>
        <w:t xml:space="preserve">：防范合资公司治理僵局，保障绿融创合股东权益。</w:t>
      </w:r>
    </w:p>
    <w:p>
      <w:pPr>
        <w:pStyle w:val="7"/>
      </w:pPr>
      <w:r>
        <w:rPr>
          <w:bCs/>
          <w:b/>
        </w:rPr>
        <w:t xml:space="preserve">关键条款</w:t>
      </w:r>
      <w:r>
        <w:t xml:space="preserve">：</w:t>
      </w:r>
      <w:r>
        <w:br/>
      </w:r>
      <w:r>
        <w:t xml:space="preserve">- 董事会席位：绿融创合占多数（如2:1）；</w:t>
      </w:r>
      <w:r>
        <w:br/>
      </w:r>
      <w:r>
        <w:t xml:space="preserve">- 一票否决权限定于法定事项，不得扩大解释；</w:t>
      </w:r>
      <w:r>
        <w:br/>
      </w:r>
      <w:r>
        <w:t xml:space="preserve">- 僵局解决：90天协商 → 第三方仲裁 → 强制拖售（Drag-Along）；</w:t>
      </w:r>
      <w:r>
        <w:br/>
      </w:r>
      <w:r>
        <w:t xml:space="preserve">- 利润分配：明确绿融创合所获利润按其内部《股东协议》规则再分配；</w:t>
      </w:r>
      <w:r>
        <w:br/>
      </w:r>
      <w:r>
        <w:t xml:space="preserve">- 业务独立性：鼓励绿融创新自拓业务，3年内独立项目占比目标 ≥ 30%。</w:t>
      </w:r>
    </w:p>
    <w:p>
      <w:r>
        <w:pict>
          <v:rect style="width:0;height:1.5pt" o:hralign="center" o:hrstd="t" o:hr="t"/>
        </w:pict>
      </w:r>
    </w:p>
    <w:bookmarkEnd w:id="37"/>
    <w:bookmarkStart w:id="38" w:name="六超额利润分享池实施细则-1"/>
    <w:p>
      <w:pPr>
        <w:pStyle w:val="4"/>
      </w:pPr>
      <w:r>
        <w:t xml:space="preserve">（六）《超额利润分享池实施细则》</w:t>
      </w:r>
    </w:p>
    <w:p>
      <w:pPr>
        <w:pStyle w:val="FirstParagraph"/>
      </w:pPr>
      <w:r>
        <w:rPr>
          <w:bCs/>
          <w:b/>
        </w:rPr>
        <w:t xml:space="preserve">制定方</w:t>
      </w:r>
      <w:r>
        <w:t xml:space="preserve">：绿融创合董事会</w:t>
      </w:r>
      <w:r>
        <w:br/>
      </w:r>
      <w:r>
        <w:rPr>
          <w:bCs/>
          <w:b/>
        </w:rPr>
        <w:t xml:space="preserve">定位</w:t>
      </w:r>
      <w:r>
        <w:t xml:space="preserve">：落地动态分红中的短期激励增强机制。</w:t>
      </w:r>
    </w:p>
    <w:p>
      <w:pPr>
        <w:pStyle w:val="7"/>
      </w:pPr>
      <w:r>
        <w:rPr>
          <w:bCs/>
          <w:b/>
        </w:rPr>
        <w:t xml:space="preserve">核心规则</w:t>
      </w:r>
      <w:r>
        <w:t xml:space="preserve">：</w:t>
      </w:r>
      <w:r>
        <w:br/>
      </w:r>
      <w:r>
        <w:t xml:space="preserve">- 超额利润 = 净利润 - 300万元；</w:t>
      </w:r>
      <w:r>
        <w:br/>
      </w:r>
      <w:r>
        <w:t xml:space="preserve">- 提取比例：20%；</w:t>
      </w:r>
      <w:r>
        <w:br/>
      </w:r>
      <w:r>
        <w:t xml:space="preserve">- 分配方案：由韩啸提报，董事会备案；</w:t>
      </w:r>
      <w:r>
        <w:br/>
      </w:r>
      <w:r>
        <w:t xml:space="preserve">- 发放前提：公司现金流充足、无重大债务或合规风险。</w:t>
      </w:r>
    </w:p>
    <w:p>
      <w:r>
        <w:pict>
          <v:rect style="width:0;height:1.5pt" o:hralign="center" o:hrstd="t" o:hr="t"/>
        </w:pict>
      </w:r>
    </w:p>
    <w:bookmarkEnd w:id="38"/>
    <w:bookmarkStart w:id="39" w:name="七知识服务积分换股协议-1"/>
    <w:p>
      <w:pPr>
        <w:pStyle w:val="4"/>
      </w:pPr>
      <w:r>
        <w:t xml:space="preserve">（七）《知识服务积分换股协议》</w:t>
      </w:r>
    </w:p>
    <w:p>
      <w:pPr>
        <w:pStyle w:val="FirstParagraph"/>
      </w:pPr>
      <w:r>
        <w:rPr>
          <w:bCs/>
          <w:b/>
        </w:rPr>
        <w:t xml:space="preserve">签署方</w:t>
      </w:r>
      <w:r>
        <w:t xml:space="preserve">：金融科技公司 vs 韩啸</w:t>
      </w:r>
      <w:r>
        <w:br/>
      </w:r>
      <w:r>
        <w:rPr>
          <w:bCs/>
          <w:b/>
        </w:rPr>
        <w:t xml:space="preserve">定位</w:t>
      </w:r>
      <w:r>
        <w:t xml:space="preserve">：支撑“积分换股”模式的法律基础。</w:t>
      </w:r>
    </w:p>
    <w:p>
      <w:pPr>
        <w:pStyle w:val="7"/>
      </w:pPr>
      <w:r>
        <w:rPr>
          <w:bCs/>
          <w:b/>
        </w:rPr>
        <w:t xml:space="preserve">要点</w:t>
      </w:r>
      <w:r>
        <w:t xml:space="preserve">：</w:t>
      </w:r>
      <w:r>
        <w:br/>
      </w:r>
      <w:r>
        <w:t xml:space="preserve">- 知识服务内容、质量标准、交付周期明确；</w:t>
      </w:r>
      <w:r>
        <w:br/>
      </w:r>
      <w:r>
        <w:t xml:space="preserve">- 积分计算规则量化（如每完成1个BA文档=10分）；</w:t>
      </w:r>
      <w:r>
        <w:br/>
      </w:r>
      <w:r>
        <w:t xml:space="preserve">- 积分可兑换为金融科技公司期权，行权条件与归属期按其《期权计划》执行；</w:t>
      </w:r>
      <w:r>
        <w:br/>
      </w:r>
      <w:r>
        <w:t xml:space="preserve">- 知识产权归属金融科技公司，韩啸享有署名权与激励权益。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三协议签署逻辑与时间安排-1"/>
    <w:p>
      <w:pPr>
        <w:pStyle w:val="3"/>
      </w:pPr>
      <w:r>
        <w:t xml:space="preserve">三、协议签署逻辑与时间安排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T+0（奠基期）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《绿融创合股东协议》</w:t>
            </w:r>
            <w:r>
              <w:t xml:space="preserve">《限制性股权授予协议》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确立治理与激励总框架，锁定韩啸权益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T+1周（治理落地）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《持股平台合伙协议》</w:t>
            </w:r>
            <w:r>
              <w:t xml:space="preserve">《经营授权清单》</w:t>
            </w:r>
            <w:r>
              <w:t xml:space="preserve">《投资人管控事项清单》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完成股权结构搭建与权力边界划分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T+2周（业务协同）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《绿融创新合资协议》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合资公司设立前签署，前置风险防控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T+3周（激励延伸）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《超额利润分享池实施细则》</w:t>
            </w:r>
            <w:r>
              <w:t xml:space="preserve">《知识服务积分换股协议》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完善短期激励与跨主体知识绑定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持续更新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《员工期权池管理规则》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团队扩张时启用，保持激励连续性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四关键风险控制措施-1"/>
    <w:p>
      <w:pPr>
        <w:pStyle w:val="3"/>
      </w:pPr>
      <w:r>
        <w:t xml:space="preserve">四、关键风险控制措施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控制权冲突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《股东协议》严格限定60%投票权范围 + 双清单机制确保经营自主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合资公司僵局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《合资协议》设“协商-仲裁-强制出售”三阶解决机制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股权稀释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反稀释条款 + 滚动期权池（年净利润5%补充）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激励失效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限制性股权 + 动态分红 + 超额分享池 三重驱动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退出纠纷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明确回购定价机制（授予价/净资产/第三方估值三选一）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所有授权事项清单化、数字化、可审计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五决策依据说明-1"/>
    <w:p>
      <w:pPr>
        <w:pStyle w:val="3"/>
      </w:pPr>
      <w:r>
        <w:t xml:space="preserve">五、决策依据说明</w:t>
      </w:r>
    </w:p>
    <w:p>
      <w:pPr>
        <w:pStyle w:val="FirstParagraph"/>
      </w:pPr>
      <w:r>
        <w:t xml:space="preserve">本最终方案综合采纳三家初步方案之精华：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战略完备性</w:t>
      </w:r>
      <w:r>
        <w:t xml:space="preserve">：采纳</w:t>
      </w:r>
      <w:r>
        <w:rPr>
          <w:bCs/>
          <w:b/>
        </w:rPr>
        <w:t xml:space="preserve">方案A</w:t>
      </w:r>
      <w:r>
        <w:t xml:space="preserve">的“三位一体治理闭环”理念，构建“激励-治理-退出”系统架构，确保多主体（绿融创合、绿融创新、金融科技公司）协同有序；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风险控制力</w:t>
      </w:r>
      <w:r>
        <w:t xml:space="preserve">：融合</w:t>
      </w:r>
      <w:r>
        <w:rPr>
          <w:bCs/>
          <w:b/>
        </w:rPr>
        <w:t xml:space="preserve">方案B</w:t>
      </w:r>
      <w:r>
        <w:t xml:space="preserve">的风险识别深度与合规导向，将合资僵局、控制权冲突、税务合规等高危点转化为具法律效力的协议条款，并统一争议解决机制；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执行可行性</w:t>
      </w:r>
      <w:r>
        <w:t xml:space="preserve">：吸收</w:t>
      </w:r>
      <w:r>
        <w:rPr>
          <w:bCs/>
          <w:b/>
        </w:rPr>
        <w:t xml:space="preserve">方案C</w:t>
      </w:r>
      <w:r>
        <w:t xml:space="preserve">的“最小协议数量、最大执行清晰度”原则，通过《双清单机制》《分红测算模板》《签署路线图》等工具，大幅降低落地成本与沟通摩擦。</w:t>
      </w:r>
    </w:p>
    <w:p>
      <w:pPr>
        <w:pStyle w:val="FirstParagraph"/>
      </w:pPr>
      <w:r>
        <w:t xml:space="preserve">最终方案在</w:t>
      </w:r>
      <w:r>
        <w:rPr>
          <w:bCs/>
          <w:b/>
        </w:rPr>
        <w:t xml:space="preserve">激励强度、控制安全、风险隔离、执行效率</w:t>
      </w:r>
      <w:r>
        <w:t xml:space="preserve">四者间达成最优平衡，符合复杂商业协议对</w:t>
      </w:r>
      <w:r>
        <w:rPr>
          <w:bCs/>
          <w:b/>
        </w:rPr>
        <w:t xml:space="preserve">系统性、严谨性与实操性</w:t>
      </w:r>
      <w:r>
        <w:t xml:space="preserve">的全部要求，可作为绿融创合合伙人机制的制度基石。</w:t>
      </w:r>
    </w:p>
    <w:bookmarkEnd w:id="43"/>
    <w:bookmarkEnd w:id="44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90F60682"/>
    <w:multiLevelType w:val="multilevel"/>
    <w:tmpl w:val="90F60682"/>
    <w:lvl w:ilvl="0" w:tentative="0">
      <w:start w:val="1"/>
      <w:numFmt w:val="chineseCounting"/>
      <w:suff w:val="nothing"/>
      <w:lvlText w:val="%1、"/>
      <w:lvlJc w:val="left"/>
      <w:pPr>
        <w:tabs>
          <w:tab w:pos="0" w:val="left"/>
        </w:tabs>
        <w:ind w:firstLine="0" w:left="0"/>
      </w:pPr>
      <w:rPr>
        <w:rFonts w:eastAsia="仿宋" w:hint="eastAsia"/>
        <w:sz w:val="24"/>
      </w:rPr>
    </w:lvl>
    <w:lvl w:ilvl="1" w:tentative="0">
      <w:start w:val="1"/>
      <w:numFmt w:val="decimal"/>
      <w:pStyle w:val="40"/>
      <w:suff w:val="nothing"/>
      <w:lvlText w:val="%2."/>
      <w:lvlJc w:val="left"/>
      <w:pPr>
        <w:tabs>
          <w:tab w:pos="0" w:val="left"/>
        </w:tabs>
        <w:ind w:firstLine="0" w:left="0"/>
      </w:pPr>
      <w:rPr>
        <w:rFonts w:eastAsia="仿宋" w:hint="eastAsia"/>
        <w:sz w:val="24"/>
      </w:rPr>
    </w:lvl>
    <w:lvl w:ilvl="2" w:tentative="0">
      <w:start w:val="1"/>
      <w:numFmt w:val="decimal"/>
      <w:pStyle w:val="42"/>
      <w:suff w:val="nothing"/>
      <w:lvlText w:val="%3.1"/>
      <w:lvlJc w:val="left"/>
      <w:pPr>
        <w:ind w:firstLine="400" w:left="0"/>
      </w:pPr>
      <w:rPr>
        <w:rFonts w:eastAsia="仿宋" w:hint="eastAsia"/>
        <w:sz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firstLine="402" w:left="0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firstLine="402" w:left="0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firstLine="402" w:left="0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firstLine="402" w:left="0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firstLine="402" w:left="0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firstLine="402" w:left="0"/>
      </w:pPr>
      <w:rPr>
        <w:rFonts w:hint="eastAsia"/>
      </w:rPr>
    </w:lvl>
  </w:abstractNum>
  <w:abstractNum w:abstractNumId="1">
    <w:nsid w:val="D995CD62"/>
    <w:multiLevelType w:val="multilevel"/>
    <w:tmpl w:val="D995CD62"/>
    <w:lvl w:ilvl="0" w:tentative="0">
      <w:start w:val="1"/>
      <w:numFmt w:val="chineseCounting"/>
      <w:pStyle w:val="39"/>
      <w:suff w:val="nothing"/>
      <w:lvlText w:val="%1、"/>
      <w:lvlJc w:val="left"/>
      <w:pPr>
        <w:tabs>
          <w:tab w:pos="0" w:val="left"/>
        </w:tabs>
        <w:ind w:firstLineChars="0" w:hanging="420" w:left="420" w:leftChars="0"/>
      </w:pPr>
      <w:rPr>
        <w:rFonts w:eastAsia="仿宋" w:hint="eastAsia"/>
        <w:b/>
        <w:sz w:val="24"/>
      </w:rPr>
    </w:lvl>
    <w:lvl w:ilvl="1" w:tentative="0">
      <w:start w:val="1"/>
      <w:numFmt w:val="chineseCounting"/>
      <w:suff w:val="nothing"/>
      <w:lvlText w:val="（%2）"/>
      <w:lvlJc w:val="left"/>
      <w:pPr>
        <w:ind w:firstLine="0" w:left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firstLine="400" w:left="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firstLine="402" w:left="0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firstLine="402" w:left="0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firstLine="402" w:left="0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firstLine="402" w:left="0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firstLine="402" w:left="0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firstLine="402" w:left="0"/>
      </w:pPr>
      <w:rPr>
        <w:rFonts w:hint="eastAsia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3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qFormat="1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qFormat="1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qFormat="1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Theme="minorEastAsia" w:hAnsiTheme="minorAscii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keepNext/>
      <w:keepLines/>
      <w:adjustRightInd w:val="0"/>
      <w:snapToGrid w:val="0"/>
      <w:spacing w:after="80" w:afterAutospacing="0" w:afterLines="80" w:beforeAutospacing="0" w:beforeLines="0" w:line="288" w:lineRule="auto"/>
      <w:outlineLvl w:val="0"/>
    </w:pPr>
    <w:rPr>
      <w:b/>
      <w:bCs/>
      <w:kern w:val="44"/>
      <w:sz w:val="36"/>
      <w:szCs w:val="36"/>
    </w:rPr>
  </w:style>
  <w:style w:styleId="3" w:type="paragraph">
    <w:name w:val="heading 2"/>
    <w:basedOn w:val="1"/>
    <w:next w:val="1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1"/>
    </w:pPr>
    <w:rPr>
      <w:b/>
      <w:bCs/>
      <w:sz w:val="32"/>
      <w:szCs w:val="32"/>
    </w:rPr>
  </w:style>
  <w:style w:styleId="4" w:type="paragraph">
    <w:name w:val="heading 3"/>
    <w:basedOn w:val="1"/>
    <w:next w:val="1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2"/>
    </w:pPr>
    <w:rPr>
      <w:b/>
      <w:bCs/>
      <w:sz w:val="30"/>
      <w:szCs w:val="30"/>
    </w:rPr>
  </w:style>
  <w:style w:styleId="5" w:type="paragraph">
    <w:name w:val="heading 4"/>
    <w:basedOn w:val="1"/>
    <w:next w:val="1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3"/>
    </w:pPr>
    <w:rPr>
      <w:b/>
      <w:bCs/>
      <w:sz w:val="28"/>
      <w:szCs w:val="28"/>
    </w:rPr>
  </w:style>
  <w:style w:styleId="6" w:type="paragraph">
    <w:name w:val="heading 5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4"/>
    </w:pPr>
    <w:rPr>
      <w:b/>
      <w:bCs/>
    </w:rPr>
  </w:style>
  <w:style w:styleId="8" w:type="paragraph">
    <w:name w:val="heading 6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5"/>
    </w:pPr>
    <w:rPr>
      <w:rFonts w:asciiTheme="minorAscii" w:eastAsiaTheme="minorEastAsia" w:hAnsiTheme="minorAscii"/>
      <w:b/>
      <w:bCs/>
    </w:rPr>
  </w:style>
  <w:style w:styleId="9" w:type="paragraph">
    <w:name w:val="heading 7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6"/>
    </w:pPr>
    <w:rPr>
      <w:rFonts w:asciiTheme="minorAscii" w:eastAsiaTheme="minorEastAsia" w:hAnsiTheme="minorAscii"/>
      <w:b/>
      <w:bCs/>
    </w:rPr>
  </w:style>
  <w:style w:styleId="10" w:type="paragraph">
    <w:name w:val="heading 8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7"/>
    </w:pPr>
    <w:rPr>
      <w:rFonts w:asciiTheme="minorAscii" w:eastAsiaTheme="minorEastAsia" w:hAnsiTheme="minorAscii"/>
      <w:b/>
      <w:bCs/>
    </w:rPr>
  </w:style>
  <w:style w:styleId="11" w:type="paragraph">
    <w:name w:val="heading 9"/>
    <w:basedOn w:val="1"/>
    <w:next w:val="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8"/>
    </w:pPr>
    <w:rPr>
      <w:rFonts w:asciiTheme="minorAscii" w:eastAsiaTheme="minorEastAsia" w:hAnsiTheme="minorAscii"/>
      <w:b/>
      <w:bCs/>
      <w:sz w:val="24"/>
    </w:rPr>
  </w:style>
  <w:style w:default="1" w:styleId="30" w:type="character">
    <w:name w:val="Default Paragraph Font"/>
    <w:semiHidden/>
    <w:qFormat/>
    <w:uiPriority w:val="0"/>
  </w:style>
  <w:style w:default="1" w:styleId="29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qFormat/>
    <w:uiPriority w:val="0"/>
    <w:pPr>
      <w:spacing w:after="120" w:afterAutospacing="0" w:afterLines="0"/>
    </w:p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Theme="minorAscii" w:cs="Times New Roman" w:eastAsiaTheme="minorEastAsia" w:hAnsiTheme="minorAscii"/>
      <w:sz w:val="24"/>
    </w:rPr>
  </w:style>
  <w:style w:styleId="13" w:type="paragraph">
    <w:name w:val="annotation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</w:style>
  <w:style w:styleId="15" w:type="paragraph">
    <w:name w:val="toc 3"/>
    <w:basedOn w:val="1"/>
    <w:next w:val="1"/>
    <w:qFormat/>
    <w:uiPriority w:val="0"/>
    <w:pPr>
      <w:ind w:left="840" w:leftChars="4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</w:pPr>
    <w:rPr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toc 1"/>
    <w:basedOn w:val="1"/>
    <w:next w:val="1"/>
    <w:qFormat/>
    <w:uiPriority w:val="0"/>
  </w:style>
  <w:style w:styleId="23" w:type="paragraph">
    <w:name w:val="Subtitle"/>
    <w:basedOn w:val="1"/>
    <w:next w:val="7"/>
    <w:qFormat/>
    <w:uiPriority w:val="0"/>
    <w:pPr>
      <w:spacing w:after="60" w:afterAutospacing="0" w:afterLines="0" w:before="240" w:beforeAutospacing="0" w:beforeLines="0" w:line="312" w:lineRule="auto"/>
      <w:jc w:val="center"/>
      <w:outlineLvl w:val="1"/>
    </w:pPr>
    <w:rPr>
      <w:rFonts w:asciiTheme="majorAscii" w:eastAsiaTheme="majorEastAsia" w:hAnsiTheme="majorAscii"/>
      <w:b/>
      <w:kern w:val="28"/>
      <w:sz w:val="32"/>
      <w:szCs w:val="32"/>
    </w:rPr>
  </w:style>
  <w:style w:styleId="24" w:type="paragraph">
    <w:name w:val="footnote text"/>
    <w:basedOn w:val="1"/>
    <w:qFormat/>
    <w:uiPriority w:val="0"/>
    <w:pPr>
      <w:jc w:val="left"/>
    </w:pPr>
    <w:rPr>
      <w:rFonts w:asciiTheme="minorAscii" w:eastAsiaTheme="minorEastAsia" w:hAnsiTheme="minorAscii"/>
      <w:sz w:val="24"/>
      <w:szCs w:val="24"/>
    </w:rPr>
  </w:style>
  <w:style w:styleId="25" w:type="paragraph">
    <w:name w:val="toc 2"/>
    <w:basedOn w:val="1"/>
    <w:next w:val="1"/>
    <w:qFormat/>
    <w:uiPriority w:val="0"/>
    <w:pPr>
      <w:ind w:left="420" w:leftChars="200"/>
    </w:pPr>
  </w:style>
  <w:style w:styleId="26" w:type="paragraph">
    <w:name w:val="HTML Preformatted"/>
    <w:basedOn w:val="1"/>
    <w:qFormat/>
    <w:uiPriority w:val="0"/>
    <w:rPr>
      <w:rFonts w:ascii="Courier New" w:hAnsi="Courier New"/>
      <w:sz w:val="20"/>
    </w:rPr>
  </w:style>
  <w:style w:styleId="27" w:type="paragraph">
    <w:name w:val="Title"/>
    <w:basedOn w:val="1"/>
    <w:qFormat/>
    <w:uiPriority w:val="0"/>
    <w:pPr>
      <w:adjustRightInd w:val="0"/>
      <w:snapToGrid w:val="0"/>
      <w:spacing w:after="100" w:afterAutospacing="0" w:afterLines="100" w:beforeAutospacing="0" w:beforeLines="0"/>
      <w:jc w:val="center"/>
      <w:outlineLvl w:val="0"/>
    </w:pPr>
    <w:rPr>
      <w:rFonts w:asciiTheme="majorAscii" w:eastAsiaTheme="majorEastAsia" w:hAnsiTheme="majorAscii"/>
      <w:b/>
      <w:bCs/>
      <w:sz w:val="44"/>
      <w:szCs w:val="44"/>
    </w:rPr>
  </w:style>
  <w:style w:styleId="28" w:type="paragraph">
    <w:name w:val="annotation subject"/>
    <w:basedOn w:val="13"/>
    <w:next w:val="13"/>
    <w:qFormat/>
    <w:uiPriority w:val="0"/>
    <w:rPr>
      <w:b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1" w:type="character">
    <w:name w:val="endnote reference"/>
    <w:basedOn w:val="30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2" w:type="character">
    <w:name w:val="page number"/>
    <w:qFormat/>
    <w:uiPriority w:val="0"/>
    <w:rPr>
      <w:rFonts w:asciiTheme="minorAscii" w:cs="Times New Roman" w:eastAsiaTheme="minorEastAsia" w:hAnsiTheme="minorAscii"/>
      <w:color w:themeColor="text1" w:themeTint="D9" w:val="262626"/>
      <w:spacing w:val="-6"/>
      <w:kern w:val="2"/>
      <w:sz w:val="28"/>
      <w:szCs w:val="28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3" w:type="character">
    <w:name w:val="FollowedHyperlink"/>
    <w:basedOn w:val="30"/>
    <w:qFormat/>
    <w:uiPriority w:val="0"/>
    <w:rPr>
      <w:rFonts w:asciiTheme="minorAscii" w:cs="Times New Roman" w:eastAsiaTheme="minorEastAsia" w:hAnsiTheme="minorAscii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4" w:type="character">
    <w:name w:val="Emphasis"/>
    <w:basedOn w:val="30"/>
    <w:qFormat/>
    <w:uiPriority w:val="0"/>
    <w:rPr>
      <w:i/>
    </w:rPr>
  </w:style>
  <w:style w:styleId="35" w:type="character">
    <w:name w:val="Hyperlink"/>
    <w:basedOn w:val="30"/>
    <w:qFormat/>
    <w:uiPriority w:val="0"/>
    <w:rPr>
      <w:rFonts w:asciiTheme="minorAscii" w:cs="Times New Roman" w:eastAsiaTheme="minorEastAsia" w:hAnsiTheme="minorAscii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6" w:type="character">
    <w:name w:val="annotation reference"/>
    <w:basedOn w:val="30"/>
    <w:qFormat/>
    <w:uiPriority w:val="0"/>
    <w:rPr>
      <w:rFonts w:asciiTheme="minorAscii" w:eastAsiaTheme="minorEastAsia" w:hAnsiTheme="minorAscii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7" w:type="character">
    <w:name w:val="footnote reference"/>
    <w:basedOn w:val="30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38" w:type="paragraph">
    <w:name w:val="合同正文"/>
    <w:uiPriority w:val="0"/>
    <w:pPr>
      <w:spacing w:line="360" w:lineRule="auto"/>
      <w:ind w:firstLine="480" w:firstLineChars="200"/>
      <w:jc w:val="both"/>
    </w:pPr>
    <w:rPr>
      <w:rFonts w:ascii="Times New Roman" w:eastAsia="仿宋" w:hAnsi="Times New Roman" w:hint="eastAsia"/>
      <w:sz w:val="24"/>
      <w:lang w:val="en-US"/>
    </w:rPr>
  </w:style>
  <w:style w:customStyle="1" w:styleId="39" w:type="paragraph">
    <w:name w:val="1级编号"/>
    <w:next w:val="38"/>
    <w:link w:val="46"/>
    <w:uiPriority w:val="0"/>
    <w:pPr>
      <w:keepNext/>
      <w:keepLines/>
      <w:numPr>
        <w:ilvl w:val="0"/>
        <w:numId w:val="1"/>
      </w:numPr>
      <w:tabs>
        <w:tab w:pos="420" w:val="left"/>
      </w:tabs>
      <w:bidi w:val="0"/>
      <w:spacing w:after="40" w:afterLines="0" w:before="40" w:beforeLines="0" w:line="576" w:lineRule="auto"/>
      <w:ind w:firstLine="0" w:firstLineChars="0" w:left="0" w:leftChars="0"/>
      <w:jc w:val="left"/>
      <w:outlineLvl w:val="0"/>
    </w:pPr>
    <w:rPr>
      <w:rFonts w:ascii="Times New Roman" w:eastAsia="仿宋" w:hAnsi="Times New Roman"/>
      <w:b/>
      <w:kern w:val="44"/>
      <w:sz w:val="24"/>
      <w:lang w:eastAsia="zh-CN" w:val="en-US"/>
    </w:rPr>
  </w:style>
  <w:style w:customStyle="1" w:styleId="40" w:type="paragraph">
    <w:name w:val="2级编号"/>
    <w:basedOn w:val="1"/>
    <w:uiPriority w:val="0"/>
    <w:pPr>
      <w:keepNext/>
      <w:keepLines/>
      <w:numPr>
        <w:ilvl w:val="1"/>
        <w:numId w:val="2"/>
      </w:numPr>
      <w:spacing w:after="40" w:afterLines="0" w:before="40" w:beforeLines="0" w:line="576" w:lineRule="auto"/>
      <w:ind w:firstLine="0" w:firstLineChars="0"/>
      <w:jc w:val="left"/>
      <w:outlineLvl w:val="0"/>
    </w:pPr>
    <w:rPr>
      <w:rFonts w:hint="eastAsia"/>
      <w:b/>
      <w:kern w:val="44"/>
      <w:lang w:val="en-US"/>
    </w:rPr>
  </w:style>
  <w:style w:customStyle="1" w:styleId="41" w:type="paragraph">
    <w:name w:val="合同标题"/>
    <w:qFormat/>
    <w:uiPriority w:val="0"/>
    <w:pPr>
      <w:jc w:val="center"/>
    </w:pPr>
    <w:rPr>
      <w:rFonts w:ascii="Times New Roman" w:cs="Times New Roman" w:eastAsia="仿宋" w:hAnsi="Times New Roman"/>
      <w:b/>
      <w:sz w:val="32"/>
      <w:lang w:eastAsia="zh-CN"/>
    </w:rPr>
  </w:style>
  <w:style w:customStyle="1" w:styleId="42" w:type="paragraph">
    <w:name w:val="3级编号"/>
    <w:next w:val="38"/>
    <w:uiPriority w:val="0"/>
    <w:pPr>
      <w:keepNext/>
      <w:keepLines/>
      <w:numPr>
        <w:ilvl w:val="2"/>
        <w:numId w:val="2"/>
      </w:numPr>
      <w:spacing w:after="40" w:afterLines="0" w:before="40" w:beforeLines="0" w:line="360" w:lineRule="auto"/>
      <w:ind w:firstLine="1134" w:firstLineChars="0"/>
      <w:jc w:val="left"/>
      <w:outlineLvl w:val="0"/>
    </w:pPr>
    <w:rPr>
      <w:rFonts w:ascii="Times New Roman" w:eastAsia="仿宋" w:hAnsi="Times New Roman" w:hint="eastAsia"/>
      <w:kern w:val="44"/>
      <w:sz w:val="24"/>
      <w:lang w:val="en-US"/>
    </w:rPr>
  </w:style>
  <w:style w:styleId="43" w:type="character">
    <w:name w:val="Strong"/>
    <w:basedOn w:val="30"/>
    <w:qFormat/>
    <w:uiPriority w:val="0"/>
    <w:rPr>
      <w:rFonts w:asciiTheme="minorAscii" w:eastAsiaTheme="minorEastAsia" w:hAnsiTheme="minorAscii"/>
      <w:b/>
    </w:rPr>
  </w:style>
  <w:style w:styleId="44" w:type="paragraph">
    <w:name w:val="Normal (Web)"/>
    <w:basedOn w:val="1"/>
    <w:qFormat/>
    <w:uiPriority w:val="0"/>
    <w:rPr>
      <w:sz w:val="24"/>
    </w:rPr>
  </w:style>
  <w:style w:customStyle="1" w:styleId="45" w:type="paragraph">
    <w:name w:val="合同主体"/>
    <w:uiPriority w:val="0"/>
    <w:pPr>
      <w:ind w:firstLine="643" w:firstLineChars="200"/>
    </w:pPr>
    <w:rPr>
      <w:rFonts w:ascii="Times New Roman" w:eastAsia="仿宋" w:hAnsi="Times New Roman"/>
      <w:b/>
      <w:sz w:val="28"/>
    </w:rPr>
  </w:style>
  <w:style w:customStyle="1" w:styleId="46" w:type="character">
    <w:name w:val="1级编号 Char"/>
    <w:link w:val="39"/>
    <w:uiPriority w:val="0"/>
    <w:rPr>
      <w:rFonts w:ascii="Times New Roman" w:eastAsia="仿宋" w:hAnsi="Times New Roman"/>
      <w:b/>
      <w:kern w:val="44"/>
      <w:sz w:val="24"/>
      <w:lang w:eastAsia="zh-CN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762</Words>
  <Characters>786</Characters>
  <Lines>0</Lines>
  <Paragraphs>0</Paragraphs>
  <TotalTime>42</TotalTime>
  <ScaleCrop>false</ScaleCrop>
  <LinksUpToDate>false</LinksUpToDate>
  <CharactersWithSpaces>808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2025-11-03T06:00:36Z</dcterms:created>
  <dcterms:modified xsi:type="dcterms:W3CDTF">2025-11-03T06:00:36Z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