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##一、总体目标构建一个</w:t>
      </w:r>
      <w:r>
        <w:rPr>
          <w:bCs/>
          <w:b/>
        </w:rPr>
        <w:t xml:space="preserve">激励有效、治理有序、风险可控、执行清晰</w:t>
      </w:r>
      <w:r>
        <w:t xml:space="preserve">的一揽子协议体系，实现以下核心目标：</w:t>
      </w:r>
    </w:p>
    <w:p>
      <w:pPr>
        <w:numPr>
          <w:ilvl w:val="0"/>
          <w:numId w:val="1001"/>
        </w:numPr>
        <w:pStyle w:val="Compact"/>
      </w:pPr>
      <w:r>
        <w:rPr>
          <w:bCs/>
          <w:b/>
        </w:rPr>
        <w:t xml:space="preserve">绑定核心人才</w:t>
      </w:r>
      <w:r>
        <w:t xml:space="preserve">：通过限制性股权与动态分红机制，深度绑定韩啸及其团队，激发长期创业动力；</w:t>
      </w:r>
      <w:r>
        <w:t xml:space="preserve"> </w:t>
      </w:r>
      <w:r>
        <w:t xml:space="preserve">-</w:t>
      </w:r>
      <w:r>
        <w:rPr>
          <w:bCs/>
          <w:b/>
        </w:rPr>
        <w:t xml:space="preserve">平衡控制权</w:t>
      </w:r>
      <w:r>
        <w:t xml:space="preserve">：在保障恺斯辰对重大资本事项控制力的同时，赋予韩啸充分的日常经营自主权；</w:t>
      </w:r>
    </w:p>
    <w:p>
      <w:pPr>
        <w:numPr>
          <w:ilvl w:val="0"/>
          <w:numId w:val="1001"/>
        </w:numPr>
        <w:pStyle w:val="Compact"/>
      </w:pPr>
      <w:r>
        <w:rPr>
          <w:bCs/>
          <w:b/>
        </w:rPr>
        <w:t xml:space="preserve">隔离外部风险</w:t>
      </w:r>
      <w:r>
        <w:t xml:space="preserve">：通过合资协议设计，防范绿融创新因合作方分歧导致的决策僵局与业务依赖；</w:t>
      </w:r>
    </w:p>
    <w:p>
      <w:pPr>
        <w:numPr>
          <w:ilvl w:val="0"/>
          <w:numId w:val="1001"/>
        </w:numPr>
        <w:pStyle w:val="Compact"/>
      </w:pPr>
      <w:r>
        <w:rPr>
          <w:bCs/>
          <w:b/>
        </w:rPr>
        <w:t xml:space="preserve">确保可执行性</w:t>
      </w:r>
      <w:r>
        <w:t xml:space="preserve">：所有协议条款具备法律可操作性，权责边界清晰，争议解决路径明确；</w:t>
      </w:r>
    </w:p>
    <w:p>
      <w:pPr>
        <w:numPr>
          <w:ilvl w:val="0"/>
          <w:numId w:val="1001"/>
        </w:numPr>
        <w:pStyle w:val="Compact"/>
      </w:pPr>
      <w:r>
        <w:rPr>
          <w:bCs/>
          <w:b/>
        </w:rPr>
        <w:t xml:space="preserve">衔接资本路径</w:t>
      </w:r>
      <w:r>
        <w:t xml:space="preserve">：为未来 IPO、并购等资本化事件预留加速归属、拖售/随售等退出机制。</w:t>
      </w:r>
    </w:p>
    <w:bookmarkStart w:id="27" w:name="二协议体系规划"/>
    <w:p>
      <w:pPr>
        <w:pStyle w:val="3"/>
      </w:pPr>
      <w:r>
        <w:t xml:space="preserve">二、协议体系规划</w:t>
      </w:r>
    </w:p>
    <w:p>
      <w:pPr>
        <w:pStyle w:val="FirstParagraph"/>
      </w:pPr>
      <w:r>
        <w:t xml:space="preserve">###（一）《绿融创合股东协议》</w:t>
      </w:r>
      <w:r>
        <w:rPr>
          <w:bCs/>
          <w:b/>
        </w:rPr>
        <w:t xml:space="preserve">签署方</w:t>
      </w:r>
      <w:r>
        <w:t xml:space="preserve">：恺斯辰企管（或其指定主体）、韩啸（通过持股平台）、资源贡献者代持主体、员工持股平台 GP。</w:t>
      </w:r>
      <w:r>
        <w:rPr>
          <w:bCs/>
          <w:b/>
        </w:rPr>
        <w:t xml:space="preserve">定位</w:t>
      </w:r>
      <w:r>
        <w:t xml:space="preserve">：本协议为整个合伙人方案的</w:t>
      </w:r>
      <w:r>
        <w:rPr>
          <w:bCs/>
          <w:b/>
        </w:rPr>
        <w:t xml:space="preserve">顶层治理宪法</w:t>
      </w:r>
      <w:r>
        <w:t xml:space="preserve">，统领其他协议。</w:t>
      </w:r>
    </w:p>
    <w:bookmarkStart w:id="20" w:name="核心条款"/>
    <w:p>
      <w:pPr>
        <w:pStyle w:val="5"/>
      </w:pPr>
      <w:r>
        <w:t xml:space="preserve">核心条款：</w:t>
      </w:r>
    </w:p>
    <w:p>
      <w:pPr>
        <w:numPr>
          <w:ilvl w:val="0"/>
          <w:numId w:val="1002"/>
        </w:numPr>
      </w:pPr>
      <w:r>
        <w:rPr>
          <w:bCs/>
          <w:b/>
        </w:rPr>
        <w:t xml:space="preserve">股权结构确认</w:t>
      </w:r>
      <w:r>
        <w:t xml:space="preserve">- 韩啸通过持股平台持有40%限制性股权；- 恺斯辰通过直接持股及 GP 控制合计持有 60% 表决权。</w:t>
      </w:r>
    </w:p>
    <w:p>
      <w:pPr>
        <w:numPr>
          <w:ilvl w:val="0"/>
          <w:numId w:val="1002"/>
        </w:numPr>
      </w:pPr>
      <w:r>
        <w:rPr>
          <w:bCs/>
          <w:b/>
        </w:rPr>
        <w:t xml:space="preserve">控制权边界限定</w:t>
      </w:r>
      <w:r>
        <w:t xml:space="preserve">- 恺斯辰 60%表决权</w:t>
      </w:r>
      <w:r>
        <w:rPr>
          <w:bCs/>
          <w:b/>
        </w:rPr>
        <w:t xml:space="preserve">仅适用于</w:t>
      </w:r>
      <w:r>
        <w:t xml:space="preserve">以下重大事项：- 公司 IPO、并购、清算或控制权变更；- 修改公司章程；</w:t>
      </w:r>
      <w:r>
        <w:br/>
      </w:r>
      <w:r>
        <w:t xml:space="preserve">-增资、减资、合并、分立；</w:t>
      </w:r>
    </w:p>
    <w:p>
      <w:pPr>
        <w:numPr>
          <w:ilvl w:val="1"/>
          <w:numId w:val="1003"/>
        </w:numPr>
        <w:pStyle w:val="Compact"/>
      </w:pPr>
      <w:r>
        <w:t xml:space="preserve">对外提供超过公司净资产10%的担保或借款。-</w:t>
      </w:r>
      <w:r>
        <w:t xml:space="preserve"> </w:t>
      </w:r>
      <w:r>
        <w:rPr>
          <w:bCs/>
          <w:b/>
        </w:rPr>
        <w:t xml:space="preserve">其余事项</w:t>
      </w:r>
      <w:r>
        <w:t xml:space="preserve">（包括年度预算、高管任免、日常经营决策等），恺斯辰承诺与韩啸保持一致行动，或默认授权韩啸团队决策。</w:t>
      </w:r>
    </w:p>
    <w:p>
      <w:pPr>
        <w:numPr>
          <w:ilvl w:val="0"/>
          <w:numId w:val="1002"/>
        </w:numPr>
      </w:pPr>
      <w:r>
        <w:rPr>
          <w:bCs/>
          <w:b/>
        </w:rPr>
        <w:t xml:space="preserve">动态分红机制</w:t>
      </w:r>
      <w:r>
        <w:t xml:space="preserve">（优化版）- 净利润≤ 300万元：韩啸团队享有</w:t>
      </w:r>
      <w:r>
        <w:rPr>
          <w:bCs/>
          <w:b/>
        </w:rPr>
        <w:t xml:space="preserve">70%</w:t>
      </w:r>
      <w:r>
        <w:t xml:space="preserve"> </w:t>
      </w:r>
      <w:r>
        <w:t xml:space="preserve">分红；- 300万元 &lt; 净利润≤ 500万元：分红比例线性递减，公式为：</w:t>
      </w:r>
      <w:r>
        <w:br/>
      </w:r>
      <w:r>
        <w:rPr>
          <w:rStyle w:val="VerbatimChar"/>
        </w:rPr>
        <w:t xml:space="preserve">70% - (净利润- 300万) / 200万 × 20%</w:t>
      </w:r>
      <w:r>
        <w:t xml:space="preserve">；- 净利润 &gt;500 万元：按</w:t>
      </w:r>
      <w:r>
        <w:rPr>
          <w:bCs/>
          <w:b/>
        </w:rPr>
        <w:t xml:space="preserve">实际股权比例</w:t>
      </w:r>
      <w:r>
        <w:t xml:space="preserve">分配；</w:t>
      </w:r>
      <w:r>
        <w:br/>
      </w:r>
      <w:r>
        <w:t xml:space="preserve">-</w:t>
      </w:r>
      <w:r>
        <w:rPr>
          <w:bCs/>
          <w:b/>
        </w:rPr>
        <w:t xml:space="preserve">增设“超额利润分享池”</w:t>
      </w:r>
      <w:r>
        <w:t xml:space="preserve">：净利润超过 300万元部分的</w:t>
      </w:r>
      <w:r>
        <w:rPr>
          <w:bCs/>
          <w:b/>
        </w:rPr>
        <w:t xml:space="preserve">20%</w:t>
      </w:r>
      <w:r>
        <w:t xml:space="preserve">，由韩啸团队内部二次分配，用于奖励超额价值创造。4.</w:t>
      </w:r>
      <w:r>
        <w:t xml:space="preserve"> </w:t>
      </w:r>
      <w:r>
        <w:rPr>
          <w:bCs/>
          <w:b/>
        </w:rPr>
        <w:t xml:space="preserve">僵局解决机制</w:t>
      </w:r>
    </w:p>
    <w:p>
      <w:pPr>
        <w:numPr>
          <w:ilvl w:val="1"/>
          <w:numId w:val="1004"/>
        </w:numPr>
        <w:pStyle w:val="Compact"/>
      </w:pPr>
      <w:r>
        <w:t xml:space="preserve">若股东会在重大事项上连续两次无法形成有效决议，任一方可启动第三方调解；</w:t>
      </w:r>
      <w:r>
        <w:br/>
      </w:r>
      <w:r>
        <w:t xml:space="preserve">-调解失败后，可触发</w:t>
      </w:r>
      <w:r>
        <w:rPr>
          <w:bCs/>
          <w:b/>
        </w:rPr>
        <w:t xml:space="preserve">强制收购条款</w:t>
      </w:r>
      <w:r>
        <w:t xml:space="preserve">（Drag-Along / Tag-Along），由第三方评估机构确定股权公允价值。</w:t>
      </w:r>
    </w:p>
    <w:p>
      <w:pPr>
        <w:numPr>
          <w:ilvl w:val="0"/>
          <w:numId w:val="1002"/>
        </w:numPr>
      </w:pPr>
      <w:r>
        <w:rPr>
          <w:bCs/>
          <w:b/>
        </w:rPr>
        <w:t xml:space="preserve">反稀释保护</w:t>
      </w:r>
      <w:r>
        <w:t xml:space="preserve">- 后续融资导致韩啸股权稀释超过 15% 时，可通过增发、现金补偿或调整期权池等方式予以补偿。</w:t>
      </w:r>
    </w:p>
    <w:p>
      <w:pPr>
        <w:numPr>
          <w:ilvl w:val="0"/>
          <w:numId w:val="1002"/>
        </w:numPr>
      </w:pPr>
      <w:r>
        <w:rPr>
          <w:bCs/>
          <w:b/>
        </w:rPr>
        <w:t xml:space="preserve">争议解决</w:t>
      </w:r>
      <w:r>
        <w:br/>
      </w:r>
      <w:r>
        <w:t xml:space="preserve">-约定提交</w:t>
      </w:r>
      <w:r>
        <w:rPr>
          <w:bCs/>
          <w:b/>
        </w:rPr>
        <w:t xml:space="preserve">中国国际经济贸易仲裁委员会</w:t>
      </w:r>
      <w:r>
        <w:t xml:space="preserve">（CIETAC）上海分会仲裁。</w:t>
      </w:r>
    </w:p>
    <w:bookmarkEnd w:id="20"/>
    <w:bookmarkStart w:id="21" w:name="二限制性股权授予协议韩啸专属"/>
    <w:p>
      <w:pPr>
        <w:pStyle w:val="4"/>
      </w:pPr>
      <w:r>
        <w:t xml:space="preserve">（二）《限制性股权授予协议》（韩啸专属）</w:t>
      </w:r>
    </w:p>
    <w:p>
      <w:pPr>
        <w:pStyle w:val="FirstParagraph"/>
      </w:pPr>
      <w:r>
        <w:rPr>
          <w:bCs/>
          <w:b/>
        </w:rPr>
        <w:t xml:space="preserve">签署方</w:t>
      </w:r>
      <w:r>
        <w:t xml:space="preserve">：绿融创合、韩啸。</w:t>
      </w:r>
      <w:r>
        <w:br/>
      </w:r>
      <w:r>
        <w:rPr>
          <w:bCs/>
          <w:b/>
        </w:rPr>
        <w:t xml:space="preserve">定位</w:t>
      </w:r>
      <w:r>
        <w:t xml:space="preserve">：激励落地的</w:t>
      </w:r>
      <w:r>
        <w:rPr>
          <w:bCs/>
          <w:b/>
        </w:rPr>
        <w:t xml:space="preserve">个人化法律凭证</w:t>
      </w:r>
      <w:r>
        <w:t xml:space="preserve">。#### 核心条款：1.</w:t>
      </w:r>
      <w:r>
        <w:t xml:space="preserve"> </w:t>
      </w:r>
      <w:r>
        <w:rPr>
          <w:bCs/>
          <w:b/>
        </w:rPr>
        <w:t xml:space="preserve">授予数量与价格</w:t>
      </w:r>
      <w:r>
        <w:t xml:space="preserve">- 授予40 万股（对应40%股权），价格1 元/股，总出资40 万元（可分期缴纳）。</w:t>
      </w:r>
    </w:p>
    <w:p>
      <w:pPr>
        <w:numPr>
          <w:ilvl w:val="0"/>
          <w:numId w:val="1005"/>
        </w:numPr>
      </w:pPr>
      <w:r>
        <w:rPr>
          <w:bCs/>
          <w:b/>
        </w:rPr>
        <w:t xml:space="preserve">归属安排</w:t>
      </w:r>
    </w:p>
    <w:p>
      <w:pPr>
        <w:numPr>
          <w:ilvl w:val="1"/>
          <w:numId w:val="1006"/>
        </w:numPr>
        <w:pStyle w:val="Compact"/>
      </w:pPr>
      <w:r>
        <w:rPr>
          <w:bCs/>
          <w:b/>
        </w:rPr>
        <w:t xml:space="preserve">1 年悬崖期</w:t>
      </w:r>
      <w:r>
        <w:t xml:space="preserve">：满1 年一次性归属 25%（10 万股）；</w:t>
      </w:r>
      <w:r>
        <w:br/>
      </w:r>
    </w:p>
    <w:p>
      <w:pPr>
        <w:numPr>
          <w:ilvl w:val="1"/>
          <w:numId w:val="1006"/>
        </w:numPr>
        <w:pStyle w:val="Compact"/>
      </w:pPr>
      <w:r>
        <w:rPr>
          <w:bCs/>
          <w:b/>
        </w:rPr>
        <w:t xml:space="preserve">后续 3 年匀速归属</w:t>
      </w:r>
      <w:r>
        <w:t xml:space="preserve">：每年25%（10 万股/年）；</w:t>
      </w:r>
      <w:r>
        <w:br/>
      </w:r>
    </w:p>
    <w:p>
      <w:pPr>
        <w:numPr>
          <w:ilvl w:val="1"/>
          <w:numId w:val="1006"/>
        </w:numPr>
        <w:pStyle w:val="Compact"/>
      </w:pPr>
      <w:r>
        <w:rPr>
          <w:bCs/>
          <w:b/>
        </w:rPr>
        <w:t xml:space="preserve">唯一归属前提</w:t>
      </w:r>
      <w:r>
        <w:t xml:space="preserve">：持续劳动关系存续。</w:t>
      </w:r>
    </w:p>
    <w:p>
      <w:pPr>
        <w:numPr>
          <w:ilvl w:val="0"/>
          <w:numId w:val="1005"/>
        </w:numPr>
      </w:pPr>
      <w:r>
        <w:rPr>
          <w:bCs/>
          <w:b/>
        </w:rPr>
        <w:t xml:space="preserve">回购机制</w:t>
      </w:r>
      <w:r>
        <w:t xml:space="preserve">- 离职时，未归属部分自动失效；</w:t>
      </w:r>
      <w:r>
        <w:br/>
      </w:r>
      <w:r>
        <w:t xml:space="preserve">-已归属部分，公司有权按</w:t>
      </w:r>
      <w:r>
        <w:rPr>
          <w:bCs/>
          <w:b/>
        </w:rPr>
        <w:t xml:space="preserve">授予价</w:t>
      </w:r>
      <w:r>
        <w:t xml:space="preserve">与</w:t>
      </w:r>
      <w:r>
        <w:rPr>
          <w:bCs/>
          <w:b/>
        </w:rPr>
        <w:t xml:space="preserve">最近一轮融资估值×60%</w:t>
      </w:r>
      <w:r>
        <w:t xml:space="preserve">（孰低）回购。</w:t>
      </w:r>
    </w:p>
    <w:p>
      <w:pPr>
        <w:numPr>
          <w:ilvl w:val="0"/>
          <w:numId w:val="1005"/>
        </w:numPr>
      </w:pPr>
      <w:r>
        <w:rPr>
          <w:bCs/>
          <w:b/>
        </w:rPr>
        <w:t xml:space="preserve">加速归属</w:t>
      </w:r>
    </w:p>
    <w:p>
      <w:pPr>
        <w:numPr>
          <w:ilvl w:val="1"/>
          <w:numId w:val="1007"/>
        </w:numPr>
        <w:pStyle w:val="Compact"/>
      </w:pPr>
      <w:r>
        <w:t xml:space="preserve">发生 IPO、并购、控制权变更时，未归属股权</w:t>
      </w:r>
      <w:r>
        <w:rPr>
          <w:bCs/>
          <w:b/>
        </w:rPr>
        <w:t xml:space="preserve">100%立即归属</w:t>
      </w:r>
      <w:r>
        <w:t xml:space="preserve">。5.</w:t>
      </w:r>
      <w:r>
        <w:t xml:space="preserve"> </w:t>
      </w:r>
      <w:r>
        <w:rPr>
          <w:bCs/>
          <w:b/>
        </w:rPr>
        <w:t xml:space="preserve">配套义务</w:t>
      </w:r>
      <w:r>
        <w:t xml:space="preserve">- 同步签署保密与竞业限制条款。</w:t>
      </w:r>
    </w:p>
    <w:bookmarkEnd w:id="21"/>
    <w:bookmarkStart w:id="22" w:name="三绿融创合合伙企业协议如采用有限合伙架构"/>
    <w:p>
      <w:pPr>
        <w:pStyle w:val="4"/>
      </w:pPr>
      <w:r>
        <w:t xml:space="preserve">（三）《绿融创合合伙企业协议》（如采用有限合伙架构）</w:t>
      </w:r>
    </w:p>
    <w:p>
      <w:pPr>
        <w:pStyle w:val="FirstParagraph"/>
      </w:pPr>
      <w:r>
        <w:rPr>
          <w:bCs/>
          <w:b/>
        </w:rPr>
        <w:t xml:space="preserve">签署方</w:t>
      </w:r>
      <w:r>
        <w:t xml:space="preserve">：GP（恺斯辰指定）、LP（韩啸及未来员工）。</w:t>
      </w:r>
      <w:r>
        <w:br/>
      </w:r>
      <w:r>
        <w:rPr>
          <w:bCs/>
          <w:b/>
        </w:rPr>
        <w:t xml:space="preserve">定位</w:t>
      </w:r>
      <w:r>
        <w:t xml:space="preserve">：持股平台内部治理规则。</w:t>
      </w:r>
    </w:p>
    <w:p>
      <w:pPr>
        <w:pStyle w:val="7"/>
      </w:pPr>
      <w:r>
        <w:t xml:space="preserve">####核心条款：</w:t>
      </w:r>
    </w:p>
    <w:p>
      <w:pPr>
        <w:pStyle w:val="7"/>
      </w:pPr>
      <w:r>
        <w:t xml:space="preserve">-GP 由恺斯辰控制，负责执行事务；- LP 份额授予与《限制性股权授予协议》挂钩；</w:t>
      </w:r>
      <w:r>
        <w:br/>
      </w:r>
      <w:r>
        <w:t xml:space="preserve">-员工离职时，LP份额由 GP 或公司指定方按约定价格回购；</w:t>
      </w:r>
      <w:r>
        <w:br/>
      </w:r>
      <w:r>
        <w:t xml:space="preserve">- 利润分配可约定优先顺序，但不得违反《股东协议》分红规则。</w:t>
      </w:r>
    </w:p>
    <w:p>
      <w:pPr>
        <w:pStyle w:val="BlockText"/>
      </w:pPr>
      <w:r>
        <w:rPr>
          <w:bCs/>
          <w:b/>
        </w:rPr>
        <w:t xml:space="preserve">注</w:t>
      </w:r>
      <w:r>
        <w:t xml:space="preserve">：若采用直接持股，则无需此协议。</w:t>
      </w:r>
    </w:p>
    <w:bookmarkEnd w:id="22"/>
    <w:bookmarkStart w:id="23" w:name="四绿融创新合资协议"/>
    <w:p>
      <w:pPr>
        <w:pStyle w:val="4"/>
      </w:pPr>
      <w:r>
        <w:t xml:space="preserve">（四）《绿融创新合资协议》</w:t>
      </w:r>
    </w:p>
    <w:p>
      <w:pPr>
        <w:pStyle w:val="FirstParagraph"/>
      </w:pPr>
      <w:r>
        <w:rPr>
          <w:bCs/>
          <w:b/>
        </w:rPr>
        <w:t xml:space="preserve">签署方</w:t>
      </w:r>
      <w:r>
        <w:t xml:space="preserve">：绿融创合、上海越见。</w:t>
      </w:r>
      <w:r>
        <w:br/>
      </w:r>
      <w:r>
        <w:rPr>
          <w:bCs/>
          <w:b/>
        </w:rPr>
        <w:t xml:space="preserve">定位</w:t>
      </w:r>
      <w:r>
        <w:t xml:space="preserve">：</w:t>
      </w:r>
      <w:r>
        <w:rPr>
          <w:bCs/>
          <w:b/>
        </w:rPr>
        <w:t xml:space="preserve">风险隔离与利润回流保障</w:t>
      </w:r>
      <w:r>
        <w:t xml:space="preserve">协议。</w:t>
      </w:r>
    </w:p>
    <w:p>
      <w:pPr>
        <w:pStyle w:val="7"/>
      </w:pPr>
      <w:r>
        <w:t xml:space="preserve">####核心条款：</w:t>
      </w:r>
    </w:p>
    <w:p>
      <w:pPr>
        <w:pStyle w:val="7"/>
      </w:pPr>
      <w:r>
        <w:t xml:space="preserve">1.</w:t>
      </w:r>
      <w:r>
        <w:rPr>
          <w:bCs/>
          <w:b/>
        </w:rPr>
        <w:t xml:space="preserve">否决权限定</w:t>
      </w:r>
      <w:r>
        <w:br/>
      </w:r>
      <w:r>
        <w:t xml:space="preserve">- 上海越见 34% 股权的一票否决权</w:t>
      </w:r>
      <w:r>
        <w:rPr>
          <w:bCs/>
          <w:b/>
        </w:rPr>
        <w:t xml:space="preserve">仅限于</w:t>
      </w:r>
      <w:r>
        <w:t xml:space="preserve">章程修改、增资减资、清算等重大事项，</w:t>
      </w:r>
      <w:r>
        <w:rPr>
          <w:bCs/>
          <w:b/>
        </w:rPr>
        <w:t xml:space="preserve">不适用于日常经营</w:t>
      </w:r>
      <w:r>
        <w:t xml:space="preserve">。</w:t>
      </w:r>
    </w:p>
    <w:p>
      <w:pPr>
        <w:numPr>
          <w:ilvl w:val="0"/>
          <w:numId w:val="1008"/>
        </w:numPr>
      </w:pPr>
      <w:r>
        <w:rPr>
          <w:bCs/>
          <w:b/>
        </w:rPr>
        <w:t xml:space="preserve">僵局解决三阶机制</w:t>
      </w:r>
    </w:p>
    <w:p>
      <w:pPr>
        <w:numPr>
          <w:ilvl w:val="1"/>
          <w:numId w:val="1009"/>
        </w:numPr>
        <w:pStyle w:val="Compact"/>
      </w:pPr>
      <w:r>
        <w:t xml:space="preserve">第一阶：60 日内内部协商；- 第二阶：引入第三方调解；- 第三阶：任一方可要求按第三方评估价强制收购对方股权。</w:t>
      </w:r>
    </w:p>
    <w:p>
      <w:pPr>
        <w:numPr>
          <w:ilvl w:val="0"/>
          <w:numId w:val="1008"/>
        </w:numPr>
      </w:pPr>
      <w:r>
        <w:rPr>
          <w:bCs/>
          <w:b/>
        </w:rPr>
        <w:t xml:space="preserve">业务独立性要求</w:t>
      </w:r>
      <w:r>
        <w:t xml:space="preserve">- 设定“外部项目占比上限”：首年 ≤80%，逐年降至 ≤50%；- 将“独立获客能力”纳入韩啸团队KPI，作为绿融创合对其考核依据。</w:t>
      </w:r>
    </w:p>
    <w:p>
      <w:pPr>
        <w:numPr>
          <w:ilvl w:val="0"/>
          <w:numId w:val="1008"/>
        </w:numPr>
      </w:pPr>
      <w:r>
        <w:rPr>
          <w:bCs/>
          <w:b/>
        </w:rPr>
        <w:t xml:space="preserve">利润分配衔接</w:t>
      </w:r>
      <w:r>
        <w:t xml:space="preserve">- 绿融创新利润中归属绿融创合的 66%部分，</w:t>
      </w:r>
      <w:r>
        <w:rPr>
          <w:bCs/>
          <w:b/>
        </w:rPr>
        <w:t xml:space="preserve">必须严格按《绿融创合股东协议》的分红规则执行</w:t>
      </w:r>
      <w:r>
        <w:t xml:space="preserve">。</w:t>
      </w:r>
    </w:p>
    <w:bookmarkEnd w:id="23"/>
    <w:bookmarkStart w:id="24" w:name="五经营授权清单与投资人管控事项清单"/>
    <w:p>
      <w:pPr>
        <w:pStyle w:val="4"/>
      </w:pPr>
      <w:r>
        <w:t xml:space="preserve">（五）《经营授权清单》与《投资人管控事项清单》</w:t>
      </w:r>
    </w:p>
    <w:p>
      <w:pPr>
        <w:pStyle w:val="FirstParagraph"/>
      </w:pPr>
      <w:r>
        <w:rPr>
          <w:bCs/>
          <w:b/>
        </w:rPr>
        <w:t xml:space="preserve">性质</w:t>
      </w:r>
      <w:r>
        <w:t xml:space="preserve">：公司内部治理文件，可作为《股东协议》附件。</w:t>
      </w:r>
      <w:r>
        <w:br/>
      </w:r>
      <w:r>
        <w:rPr>
          <w:bCs/>
          <w:b/>
        </w:rPr>
        <w:t xml:space="preserve">发布方</w:t>
      </w:r>
      <w:r>
        <w:t xml:space="preserve">：绿融创合董事会、恺斯辰。</w:t>
      </w:r>
    </w:p>
    <w:p>
      <w:pPr>
        <w:pStyle w:val="7"/>
      </w:pPr>
      <w:r>
        <w:t xml:space="preserve">####内容要点：</w:t>
      </w:r>
    </w:p>
    <w:p>
      <w:pPr>
        <w:numPr>
          <w:ilvl w:val="0"/>
          <w:numId w:val="1010"/>
        </w:numPr>
        <w:pStyle w:val="Compact"/>
      </w:pPr>
      <w:r>
        <w:rPr>
          <w:bCs/>
          <w:b/>
        </w:rPr>
        <w:t xml:space="preserve">《经营授权清单》</w:t>
      </w:r>
      <w:r>
        <w:t xml:space="preserve">（韩啸团队自主决策事项）：</w:t>
      </w:r>
      <w:r>
        <w:br/>
      </w:r>
      <w:r>
        <w:t xml:space="preserve">-年度预算内支出；</w:t>
      </w:r>
      <w:r>
        <w:br/>
      </w:r>
      <w:r>
        <w:t xml:space="preserve">-部门负责人任免；- 单笔≤300 万元合同签署；</w:t>
      </w:r>
      <w:r>
        <w:br/>
      </w:r>
      <w:r>
        <w:t xml:space="preserve">-客户定价与项目执行策略。-</w:t>
      </w:r>
      <w:r>
        <w:t xml:space="preserve"> </w:t>
      </w:r>
      <w:r>
        <w:rPr>
          <w:bCs/>
          <w:b/>
        </w:rPr>
        <w:t xml:space="preserve">《投资人管控事项清单》</w:t>
      </w:r>
      <w:r>
        <w:t xml:space="preserve">（恺斯辰保留事项）：- 融资、股权变更、章程修改、审计机构选聘等。</w:t>
      </w:r>
    </w:p>
    <w:p>
      <w:pPr>
        <w:pStyle w:val="BlockText"/>
      </w:pPr>
      <w:r>
        <w:rPr>
          <w:bCs/>
          <w:b/>
        </w:rPr>
        <w:t xml:space="preserve">机制保障</w:t>
      </w:r>
      <w:r>
        <w:t xml:space="preserve">：除非韩啸存在重大过失或违法，恺斯辰不得干预清单外事项。</w:t>
      </w:r>
    </w:p>
    <w:bookmarkEnd w:id="24"/>
    <w:bookmarkStart w:id="26" w:name="六金融科技公司期权协议韩啸适用签署方金融科技公司韩啸定位独立知识贡献激励协议"/>
    <w:p>
      <w:pPr>
        <w:pStyle w:val="4"/>
      </w:pPr>
      <w:r>
        <w:t xml:space="preserve">（六）《金融科技公司期权协议》（韩啸适用）</w:t>
      </w:r>
      <w:r>
        <w:rPr>
          <w:bCs/>
          <w:b/>
        </w:rPr>
        <w:t xml:space="preserve">签署方</w:t>
      </w:r>
      <w:r>
        <w:t xml:space="preserve">：金融科技公司、韩啸。</w:t>
      </w:r>
      <w:r>
        <w:rPr>
          <w:bCs/>
          <w:b/>
        </w:rPr>
        <w:t xml:space="preserve">定位</w:t>
      </w:r>
      <w:r>
        <w:t xml:space="preserve">：独立知识贡献激励协议。</w:t>
      </w:r>
    </w:p>
    <w:bookmarkStart w:id="25" w:name="核心要素"/>
    <w:p>
      <w:pPr>
        <w:pStyle w:val="5"/>
      </w:pPr>
      <w:r>
        <w:t xml:space="preserve">核心要素：</w:t>
      </w:r>
    </w:p>
    <w:p>
      <w:pPr>
        <w:pStyle w:val="FirstParagraph"/>
      </w:pPr>
      <w:r>
        <w:t xml:space="preserve">-采用“积分换股”模式，积分基于</w:t>
      </w:r>
      <w:r>
        <w:rPr>
          <w:bCs/>
          <w:b/>
        </w:rPr>
        <w:t xml:space="preserve">战略价值</w:t>
      </w:r>
      <w:r>
        <w:t xml:space="preserve">（60%）与</w:t>
      </w:r>
      <w:r>
        <w:rPr>
          <w:bCs/>
          <w:b/>
        </w:rPr>
        <w:t xml:space="preserve">贡献度</w:t>
      </w:r>
      <w:r>
        <w:t xml:space="preserve">（40%）综合评定；- 行权价格、归属条件、退出机制以该公司期权方案为准；</w:t>
      </w:r>
      <w:r>
        <w:br/>
      </w:r>
      <w:r>
        <w:t xml:space="preserve">-知识成果知识产权归属公司。</w:t>
      </w:r>
    </w:p>
    <w:p>
      <w:pPr>
        <w:pStyle w:val="BlockText"/>
      </w:pPr>
      <w:r>
        <w:rPr>
          <w:bCs/>
          <w:b/>
        </w:rPr>
        <w:t xml:space="preserve">执行建议</w:t>
      </w:r>
      <w:r>
        <w:t xml:space="preserve">：公司设立后30 日内签署正式协议，前期可签署意向书。</w:t>
      </w:r>
    </w:p>
    <w:p>
      <w:pPr>
        <w:pStyle w:val="FirstParagraph"/>
      </w:pPr>
      <w:r>
        <w:t xml:space="preserve">##三、协议签署逻辑与时间表</w:t>
      </w:r>
    </w:p>
    <w:tbl>
      <w:tblPr>
        <w:tblStyle w:val="Table"/>
        <w:tblW w:type="pct" w:w="5000"/>
        <w:tblLook w:firstRow="1" w:lastRow="0" w:firstColumn="0" w:lastColumn="0" w:noHBand="0" w:noVBand="0" w:val="0020"/>
      </w:tblPr>
      <w:tblGrid>
        <w:gridCol w:w="1697"/>
        <w:gridCol w:w="2262"/>
        <w:gridCol w:w="2262"/>
        <w:gridCol w:w="1697"/>
      </w:tblGrid>
      <w:tr>
        <w:trPr>
          <w:tblHeader w:val="true"/>
        </w:trPr>
        <w:tc>
          <w:tcPr/>
          <w:p>
            <w:pPr>
              <w:pStyle w:val="Compact"/>
              <w:jc w:val="left"/>
            </w:pPr>
            <w:r>
              <w:t xml:space="preserve">阶段</w:t>
            </w:r>
          </w:p>
        </w:tc>
        <w:tc>
          <w:tcPr/>
          <w:p>
            <w:pPr>
              <w:pStyle w:val="Compact"/>
              <w:jc w:val="left"/>
            </w:pPr>
            <w:r>
              <w:t xml:space="preserve">协议名称</w:t>
            </w:r>
          </w:p>
        </w:tc>
        <w:tc>
          <w:tcPr/>
          <w:p>
            <w:pPr>
              <w:pStyle w:val="Compact"/>
              <w:jc w:val="left"/>
            </w:pPr>
            <w:r>
              <w:t xml:space="preserve">签署时机</w:t>
            </w:r>
          </w:p>
        </w:tc>
        <w:tc>
          <w:tcPr/>
          <w:p>
            <w:pPr>
              <w:pStyle w:val="Compact"/>
              <w:jc w:val="left"/>
            </w:pPr>
            <w:r>
              <w:t xml:space="preserve">说明</w:t>
            </w:r>
          </w:p>
        </w:tc>
      </w:tr>
      <w:tr>
        <w:tc>
          <w:tcPr/>
          <w:p>
            <w:pPr>
              <w:pStyle w:val="Compact"/>
              <w:jc w:val="left"/>
            </w:pPr>
            <w:r>
              <w:rPr>
                <w:bCs/>
                <w:b/>
              </w:rPr>
              <w:t xml:space="preserve">T+0（启动期）</w:t>
            </w:r>
          </w:p>
        </w:tc>
        <w:tc>
          <w:tcPr/>
          <w:p>
            <w:pPr>
              <w:pStyle w:val="Compact"/>
              <w:jc w:val="left"/>
            </w:pPr>
            <w:r>
              <w:t xml:space="preserve">《绿融创合股东协议》</w:t>
            </w:r>
            <w:r>
              <w:t xml:space="preserve">《绿融创新合资协议》</w:t>
            </w:r>
          </w:p>
        </w:tc>
        <w:tc>
          <w:tcPr/>
          <w:p>
            <w:pPr>
              <w:pStyle w:val="Compact"/>
              <w:jc w:val="left"/>
            </w:pPr>
            <w:r>
              <w:t xml:space="preserve">公司注册前</w:t>
            </w:r>
          </w:p>
        </w:tc>
        <w:tc>
          <w:tcPr/>
          <w:p>
            <w:pPr>
              <w:pStyle w:val="Compact"/>
              <w:jc w:val="left"/>
            </w:pPr>
            <w:r>
              <w:t xml:space="preserve">奠定治理与合作基础</w:t>
            </w:r>
          </w:p>
        </w:tc>
      </w:tr>
      <w:tr>
        <w:tc>
          <w:tcPr/>
          <w:p>
            <w:pPr>
              <w:pStyle w:val="Compact"/>
              <w:jc w:val="left"/>
            </w:pPr>
            <w:r>
              <w:rPr>
                <w:bCs/>
                <w:b/>
              </w:rPr>
              <w:t xml:space="preserve">T+15日</w:t>
            </w:r>
          </w:p>
        </w:tc>
        <w:tc>
          <w:tcPr/>
          <w:p>
            <w:pPr>
              <w:pStyle w:val="Compact"/>
              <w:jc w:val="left"/>
            </w:pPr>
            <w:r>
              <w:t xml:space="preserve">《限制性股权授予协议》</w:t>
            </w:r>
            <w:r>
              <w:t xml:space="preserve">《合伙企业协议》（如适用）</w:t>
            </w:r>
          </w:p>
        </w:tc>
        <w:tc>
          <w:tcPr/>
          <w:p>
            <w:pPr>
              <w:pStyle w:val="Compact"/>
              <w:jc w:val="left"/>
            </w:pPr>
            <w:r>
              <w:t xml:space="preserve">韩啸入职/激励启动日</w:t>
            </w:r>
          </w:p>
        </w:tc>
        <w:tc>
          <w:tcPr/>
          <w:p>
            <w:pPr>
              <w:pStyle w:val="Compact"/>
              <w:jc w:val="left"/>
            </w:pPr>
            <w:r>
              <w:t xml:space="preserve">落地个人激励</w:t>
            </w:r>
          </w:p>
        </w:tc>
      </w:tr>
    </w:tbl>
    <w:bookmarkEnd w:id="25"/>
    <w:bookmarkEnd w:id="26"/>
    <w:bookmarkEnd w:id="27"/>
    <w:bookmarkStart w:id="28" w:name="四关键风险控制措施"/>
    <w:p>
      <w:pPr>
        <w:pStyle w:val="3"/>
      </w:pPr>
      <w:r>
        <w:t xml:space="preserve">四、关键风险控制措施</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风险类型</w:t>
            </w:r>
          </w:p>
        </w:tc>
        <w:tc>
          <w:tcPr/>
          <w:p>
            <w:pPr>
              <w:pStyle w:val="Compact"/>
              <w:jc w:val="left"/>
            </w:pPr>
            <w:r>
              <w:t xml:space="preserve">控制措施</w:t>
            </w:r>
          </w:p>
        </w:tc>
      </w:tr>
      <w:tr>
        <w:tc>
          <w:tcPr/>
          <w:p>
            <w:pPr>
              <w:pStyle w:val="Compact"/>
              <w:jc w:val="left"/>
            </w:pPr>
            <w:r>
              <w:rPr>
                <w:bCs/>
                <w:b/>
              </w:rPr>
              <w:t xml:space="preserve">激励失效风险</w:t>
            </w:r>
          </w:p>
        </w:tc>
        <w:tc>
          <w:tcPr/>
          <w:p>
            <w:pPr>
              <w:pStyle w:val="Compact"/>
              <w:jc w:val="left"/>
            </w:pPr>
            <w:r>
              <w:t xml:space="preserve">通过“动态分红+超额利润池”确保早期高激励；设置经营授权清单保障自主权</w:t>
            </w:r>
          </w:p>
        </w:tc>
      </w:tr>
      <w:tr>
        <w:tc>
          <w:tcPr/>
          <w:p>
            <w:pPr>
              <w:pStyle w:val="Compact"/>
              <w:jc w:val="left"/>
            </w:pPr>
            <w:r>
              <w:rPr>
                <w:bCs/>
                <w:b/>
              </w:rPr>
              <w:t xml:space="preserve">控制权冲突</w:t>
            </w:r>
          </w:p>
        </w:tc>
        <w:tc>
          <w:tcPr/>
          <w:p>
            <w:pPr>
              <w:pStyle w:val="Compact"/>
              <w:jc w:val="left"/>
            </w:pPr>
            <w:r>
              <w:t xml:space="preserve">在《股东协议》中严格限定恺斯辰投票权范围，日常事项默认授权韩啸</w:t>
            </w:r>
          </w:p>
        </w:tc>
      </w:tr>
      <w:tr>
        <w:tc>
          <w:tcPr/>
          <w:p>
            <w:pPr>
              <w:pStyle w:val="Compact"/>
              <w:jc w:val="left"/>
            </w:pPr>
            <w:r>
              <w:rPr>
                <w:bCs/>
                <w:b/>
              </w:rPr>
              <w:t xml:space="preserve">合资公司僵局</w:t>
            </w:r>
          </w:p>
        </w:tc>
        <w:tc>
          <w:tcPr/>
          <w:p>
            <w:pPr>
              <w:pStyle w:val="Compact"/>
              <w:jc w:val="left"/>
            </w:pPr>
            <w:r>
              <w:t xml:space="preserve">合资协议嵌入三阶僵局解决机制+强制收购权</w:t>
            </w:r>
          </w:p>
        </w:tc>
      </w:tr>
      <w:tr>
        <w:tc>
          <w:tcPr/>
          <w:p>
            <w:pPr>
              <w:pStyle w:val="Compact"/>
              <w:jc w:val="left"/>
            </w:pPr>
            <w:r>
              <w:rPr>
                <w:bCs/>
                <w:b/>
              </w:rPr>
              <w:t xml:space="preserve">股权稀释</w:t>
            </w:r>
          </w:p>
        </w:tc>
        <w:tc>
          <w:tcPr/>
          <w:p>
            <w:pPr>
              <w:pStyle w:val="Compact"/>
              <w:jc w:val="left"/>
            </w:pPr>
            <w:r>
              <w:t xml:space="preserve">设置反稀释条款 +滚动期权池（每年净利润5% 注入）</w:t>
            </w:r>
          </w:p>
        </w:tc>
      </w:tr>
      <w:tr>
        <w:tc>
          <w:tcPr/>
          <w:p>
            <w:pPr>
              <w:pStyle w:val="Compact"/>
              <w:jc w:val="left"/>
            </w:pPr>
            <w:r>
              <w:rPr>
                <w:bCs/>
                <w:b/>
              </w:rPr>
              <w:t xml:space="preserve">退出争议</w:t>
            </w:r>
          </w:p>
        </w:tc>
        <w:tc>
          <w:tcPr/>
          <w:p>
            <w:pPr>
              <w:pStyle w:val="Compact"/>
              <w:jc w:val="left"/>
            </w:pPr>
            <w:r>
              <w:t xml:space="preserve">明确回购价格公式（授予价/融资估值×60%取低），避免评估纠纷</w:t>
            </w:r>
          </w:p>
        </w:tc>
      </w:tr>
      <w:tr>
        <w:tc>
          <w:tcPr/>
          <w:p>
            <w:pPr>
              <w:pStyle w:val="Compact"/>
              <w:jc w:val="left"/>
            </w:pPr>
            <w:r>
              <w:rPr>
                <w:bCs/>
                <w:b/>
              </w:rPr>
              <w:t xml:space="preserve">合规风险</w:t>
            </w:r>
          </w:p>
        </w:tc>
        <w:tc>
          <w:tcPr/>
          <w:p>
            <w:pPr>
              <w:pStyle w:val="Compact"/>
              <w:jc w:val="left"/>
            </w:pPr>
            <w:r>
              <w:t xml:space="preserve">劳动关系绑定归属前提；超额利润分配履行个税代扣义务</w:t>
            </w:r>
          </w:p>
        </w:tc>
      </w:tr>
    </w:tbl>
    <w:p>
      <w:pPr>
        <w:pStyle w:val="7"/>
      </w:pPr>
      <w:r>
        <w:t xml:space="preserve">##五、决策依据说明本最终方案综合采纳三家初步方案之精华：</w:t>
      </w:r>
    </w:p>
    <w:p>
      <w:pPr>
        <w:numPr>
          <w:ilvl w:val="0"/>
          <w:numId w:val="1011"/>
        </w:numPr>
        <w:pStyle w:val="Compact"/>
      </w:pPr>
      <w:r>
        <w:rPr>
          <w:bCs/>
          <w:b/>
        </w:rPr>
        <w:t xml:space="preserve">战略完备性</w:t>
      </w:r>
      <w:r>
        <w:t xml:space="preserve">：采纳</w:t>
      </w:r>
      <w:r>
        <w:rPr>
          <w:bCs/>
          <w:b/>
        </w:rPr>
        <w:t xml:space="preserve">方案A</w:t>
      </w:r>
      <w:r>
        <w:t xml:space="preserve">的“一揽子协议架构”逻辑，以《股东协议》为纲，构建完整治理体系；</w:t>
      </w:r>
    </w:p>
    <w:p>
      <w:pPr>
        <w:numPr>
          <w:ilvl w:val="0"/>
          <w:numId w:val="1011"/>
        </w:numPr>
        <w:pStyle w:val="Compact"/>
      </w:pPr>
      <w:r>
        <w:rPr>
          <w:bCs/>
          <w:b/>
        </w:rPr>
        <w:t xml:space="preserve">风险控制力</w:t>
      </w:r>
      <w:r>
        <w:t xml:space="preserve">：融合</w:t>
      </w:r>
      <w:r>
        <w:rPr>
          <w:bCs/>
          <w:b/>
        </w:rPr>
        <w:t xml:space="preserve">方案B</w:t>
      </w:r>
      <w:r>
        <w:t xml:space="preserve">的风险视角，强化僵局解决、回购定价、合规绑定等条款，并统一仲裁机制；</w:t>
      </w:r>
    </w:p>
    <w:p>
      <w:pPr>
        <w:numPr>
          <w:ilvl w:val="0"/>
          <w:numId w:val="1011"/>
        </w:numPr>
        <w:pStyle w:val="Compact"/>
      </w:pPr>
      <w:r>
        <w:rPr>
          <w:bCs/>
          <w:b/>
        </w:rPr>
        <w:t xml:space="preserve">执行可行性</w:t>
      </w:r>
      <w:r>
        <w:t xml:space="preserve">：吸收</w:t>
      </w:r>
      <w:r>
        <w:rPr>
          <w:bCs/>
          <w:b/>
        </w:rPr>
        <w:t xml:space="preserve">方案C</w:t>
      </w:r>
      <w:r>
        <w:t xml:space="preserve">的执行细节，明确协议签署顺序、清单化授权边界、分期落地路径，确保可操作。</w:t>
      </w:r>
    </w:p>
    <w:p>
      <w:pPr>
        <w:pStyle w:val="FirstParagraph"/>
      </w:pPr>
      <w:r>
        <w:t xml:space="preserve">最终方案在</w:t>
      </w:r>
      <w:r>
        <w:rPr>
          <w:bCs/>
          <w:b/>
        </w:rPr>
        <w:t xml:space="preserve">激励强度、控制安全、风险隔离、执行效率</w:t>
      </w:r>
      <w:r>
        <w:t xml:space="preserve">四者间达成最优平衡，符合“复杂合同”对系统性、严谨性与实操性的全部要求。</w:t>
      </w:r>
    </w:p>
    <w:bookmarkEnd w:id="28"/>
    <w:sectPr>
      <w:pgSz w:h="16838" w:w="11906"/>
      <w:pgMar w:bottom="1440" w:footer="992" w:gutter="0" w:header="851" w:left="1800" w:right="1800" w:top="1440"/>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西文标题">
    <w:altName w:val="Segoe Print"/>
    <w:panose1 w:val="00000000000000000000"/>
    <w:charset w:val="00"/>
    <w:family w:val="auto"/>
    <w:pitch w:val="default"/>
    <w:sig w:usb0="00000000" w:usb1="00000000" w:usb2="00000000" w:usb3="00000000" w:csb0="00000000" w:csb1="00000000"/>
  </w:font>
  <w:font w:name="+中文标题">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90F60682"/>
    <w:multiLevelType w:val="multilevel"/>
    <w:tmpl w:val="90F60682"/>
    <w:lvl w:ilvl="0" w:tentative="0">
      <w:start w:val="1"/>
      <w:numFmt w:val="chineseCounting"/>
      <w:suff w:val="nothing"/>
      <w:lvlText w:val="%1、"/>
      <w:lvlJc w:val="left"/>
      <w:pPr>
        <w:tabs>
          <w:tab w:pos="0" w:val="left"/>
        </w:tabs>
        <w:ind w:firstLine="0" w:left="0"/>
      </w:pPr>
      <w:rPr>
        <w:rFonts w:eastAsia="仿宋" w:hint="eastAsia"/>
        <w:sz w:val="24"/>
      </w:rPr>
    </w:lvl>
    <w:lvl w:ilvl="1" w:tentative="0">
      <w:start w:val="1"/>
      <w:numFmt w:val="decimal"/>
      <w:pStyle w:val="40"/>
      <w:suff w:val="nothing"/>
      <w:lvlText w:val="%2."/>
      <w:lvlJc w:val="left"/>
      <w:pPr>
        <w:tabs>
          <w:tab w:pos="0" w:val="left"/>
        </w:tabs>
        <w:ind w:firstLine="0" w:left="0"/>
      </w:pPr>
      <w:rPr>
        <w:rFonts w:eastAsia="仿宋" w:hint="eastAsia"/>
        <w:sz w:val="24"/>
      </w:rPr>
    </w:lvl>
    <w:lvl w:ilvl="2" w:tentative="0">
      <w:start w:val="1"/>
      <w:numFmt w:val="decimal"/>
      <w:pStyle w:val="42"/>
      <w:suff w:val="nothing"/>
      <w:lvlText w:val="%3.1"/>
      <w:lvlJc w:val="left"/>
      <w:pPr>
        <w:ind w:firstLine="400" w:left="0"/>
      </w:pPr>
      <w:rPr>
        <w:rFonts w:eastAsia="仿宋" w:hint="eastAsia"/>
        <w:sz w:val="24"/>
      </w:rPr>
    </w:lvl>
    <w:lvl w:ilvl="3" w:tentative="0">
      <w:start w:val="1"/>
      <w:numFmt w:val="decimal"/>
      <w:pStyle w:val="5"/>
      <w:suff w:val="nothing"/>
      <w:lvlText w:val="（%4）"/>
      <w:lvlJc w:val="left"/>
      <w:pPr>
        <w:ind w:firstLine="402" w:left="0"/>
      </w:pPr>
      <w:rPr>
        <w:rFonts w:hint="eastAsia"/>
      </w:rPr>
    </w:lvl>
    <w:lvl w:ilvl="4" w:tentative="0">
      <w:start w:val="1"/>
      <w:numFmt w:val="decimalEnclosedCircleChinese"/>
      <w:suff w:val="nothing"/>
      <w:lvlText w:val="%5"/>
      <w:lvlJc w:val="left"/>
      <w:pPr>
        <w:ind w:firstLine="402" w:left="0"/>
      </w:pPr>
      <w:rPr>
        <w:rFonts w:hint="eastAsia"/>
      </w:rPr>
    </w:lvl>
    <w:lvl w:ilvl="5" w:tentative="0">
      <w:start w:val="1"/>
      <w:numFmt w:val="decimal"/>
      <w:suff w:val="nothing"/>
      <w:lvlText w:val="%6）"/>
      <w:lvlJc w:val="left"/>
      <w:pPr>
        <w:ind w:firstLine="402" w:left="0"/>
      </w:pPr>
      <w:rPr>
        <w:rFonts w:hint="eastAsia"/>
      </w:rPr>
    </w:lvl>
    <w:lvl w:ilvl="6" w:tentative="0">
      <w:start w:val="1"/>
      <w:numFmt w:val="lowerLetter"/>
      <w:suff w:val="nothing"/>
      <w:lvlText w:val="%7．"/>
      <w:lvlJc w:val="left"/>
      <w:pPr>
        <w:ind w:firstLine="402" w:left="0"/>
      </w:pPr>
      <w:rPr>
        <w:rFonts w:hint="eastAsia"/>
      </w:rPr>
    </w:lvl>
    <w:lvl w:ilvl="7" w:tentative="0">
      <w:start w:val="1"/>
      <w:numFmt w:val="lowerLetter"/>
      <w:suff w:val="nothing"/>
      <w:lvlText w:val="%8）"/>
      <w:lvlJc w:val="left"/>
      <w:pPr>
        <w:ind w:firstLine="402" w:left="0"/>
      </w:pPr>
      <w:rPr>
        <w:rFonts w:hint="eastAsia"/>
      </w:rPr>
    </w:lvl>
    <w:lvl w:ilvl="8" w:tentative="0">
      <w:start w:val="1"/>
      <w:numFmt w:val="lowerRoman"/>
      <w:suff w:val="nothing"/>
      <w:lvlText w:val="%9 "/>
      <w:lvlJc w:val="left"/>
      <w:pPr>
        <w:ind w:firstLine="402" w:left="0"/>
      </w:pPr>
      <w:rPr>
        <w:rFonts w:hint="eastAsia"/>
      </w:rPr>
    </w:lvl>
  </w:abstractNum>
  <w:abstractNum w:abstractNumId="1">
    <w:nsid w:val="D995CD62"/>
    <w:multiLevelType w:val="multilevel"/>
    <w:tmpl w:val="D995CD62"/>
    <w:lvl w:ilvl="0" w:tentative="0">
      <w:start w:val="1"/>
      <w:numFmt w:val="chineseCounting"/>
      <w:pStyle w:val="39"/>
      <w:suff w:val="nothing"/>
      <w:lvlText w:val="%1、"/>
      <w:lvlJc w:val="left"/>
      <w:pPr>
        <w:tabs>
          <w:tab w:pos="0" w:val="left"/>
        </w:tabs>
        <w:ind w:firstLineChars="0" w:hanging="420" w:left="420" w:leftChars="0"/>
      </w:pPr>
      <w:rPr>
        <w:rFonts w:eastAsia="仿宋" w:hint="eastAsia"/>
        <w:b/>
        <w:sz w:val="24"/>
      </w:rPr>
    </w:lvl>
    <w:lvl w:ilvl="1" w:tentative="0">
      <w:start w:val="1"/>
      <w:numFmt w:val="chineseCounting"/>
      <w:suff w:val="nothing"/>
      <w:lvlText w:val="（%2）"/>
      <w:lvlJc w:val="left"/>
      <w:pPr>
        <w:ind w:firstLine="0" w:left="0"/>
      </w:pPr>
      <w:rPr>
        <w:rFonts w:hint="eastAsia"/>
      </w:rPr>
    </w:lvl>
    <w:lvl w:ilvl="2" w:tentative="0">
      <w:start w:val="1"/>
      <w:numFmt w:val="decimal"/>
      <w:suff w:val="nothing"/>
      <w:lvlText w:val="%3．"/>
      <w:lvlJc w:val="left"/>
      <w:pPr>
        <w:ind w:firstLine="400" w:left="0"/>
      </w:pPr>
      <w:rPr>
        <w:rFonts w:hint="eastAsia"/>
      </w:rPr>
    </w:lvl>
    <w:lvl w:ilvl="3" w:tentative="0">
      <w:start w:val="1"/>
      <w:numFmt w:val="decimal"/>
      <w:suff w:val="nothing"/>
      <w:lvlText w:val="（%4）"/>
      <w:lvlJc w:val="left"/>
      <w:pPr>
        <w:ind w:firstLine="402" w:left="0"/>
      </w:pPr>
      <w:rPr>
        <w:rFonts w:hint="eastAsia"/>
      </w:rPr>
    </w:lvl>
    <w:lvl w:ilvl="4" w:tentative="0">
      <w:start w:val="1"/>
      <w:numFmt w:val="decimalEnclosedCircleChinese"/>
      <w:suff w:val="nothing"/>
      <w:lvlText w:val="%5"/>
      <w:lvlJc w:val="left"/>
      <w:pPr>
        <w:ind w:firstLine="402" w:left="0"/>
      </w:pPr>
      <w:rPr>
        <w:rFonts w:hint="eastAsia"/>
      </w:rPr>
    </w:lvl>
    <w:lvl w:ilvl="5" w:tentative="0">
      <w:start w:val="1"/>
      <w:numFmt w:val="decimal"/>
      <w:suff w:val="nothing"/>
      <w:lvlText w:val="%6）"/>
      <w:lvlJc w:val="left"/>
      <w:pPr>
        <w:ind w:firstLine="402" w:left="0"/>
      </w:pPr>
      <w:rPr>
        <w:rFonts w:hint="eastAsia"/>
      </w:rPr>
    </w:lvl>
    <w:lvl w:ilvl="6" w:tentative="0">
      <w:start w:val="1"/>
      <w:numFmt w:val="lowerLetter"/>
      <w:suff w:val="nothing"/>
      <w:lvlText w:val="%7．"/>
      <w:lvlJc w:val="left"/>
      <w:pPr>
        <w:ind w:firstLine="402" w:left="0"/>
      </w:pPr>
      <w:rPr>
        <w:rFonts w:hint="eastAsia"/>
      </w:rPr>
    </w:lvl>
    <w:lvl w:ilvl="7" w:tentative="0">
      <w:start w:val="1"/>
      <w:numFmt w:val="lowerLetter"/>
      <w:suff w:val="nothing"/>
      <w:lvlText w:val="%8）"/>
      <w:lvlJc w:val="left"/>
      <w:pPr>
        <w:ind w:firstLine="402" w:left="0"/>
      </w:pPr>
      <w:rPr>
        <w:rFonts w:hint="eastAsia"/>
      </w:rPr>
    </w:lvl>
    <w:lvl w:ilvl="8" w:tentative="0">
      <w:start w:val="1"/>
      <w:numFmt w:val="lowerRoman"/>
      <w:suff w:val="nothing"/>
      <w:lvlText w:val="%9 "/>
      <w:lvlJc w:val="left"/>
      <w:pPr>
        <w:ind w:firstLine="402" w:left="0"/>
      </w:pPr>
      <w:rPr>
        <w:rFonts w:hint="eastAsia"/>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abstractNumId w:val="1"/>
  </w:num>
  <w:num w:numId="2">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30"/>
  <w:defaultTabStop w:val="420"/>
  <w:drawingGridVerticalSpacing w:val="156"/>
  <w:displayHorizontalDrawingGridEvery w:val="1"/>
  <w:displayVerticalDrawingGridEvery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lsdException w:name="heading 3" w:qFormat="1" w:semiHidden="0" w:uiPriority="0"/>
    <w:lsdException w:name="heading 4" w:qFormat="1" w:semiHidden="0" w:uiPriority="0"/>
    <w:lsdException w:name="heading 5" w:qFormat="1" w:semiHidden="0" w:uiPriority="0"/>
    <w:lsdException w:name="heading 6" w:qFormat="1" w:semiHidden="0" w:uiPriority="0"/>
    <w:lsdException w:name="heading 7" w:qFormat="1" w:semiHidden="0" w:uiPriority="0"/>
    <w:lsdException w:name="heading 8" w:qFormat="1" w:semiHidden="0" w:uiPriority="0"/>
    <w:lsdException w:name="heading 9" w:qFormat="1" w:semiHidden="0"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qFormat="1" w:semiHidden="0" w:uiPriority="0" w:unhideWhenUsed="0"/>
    <w:lsdException w:name="toc 2" w:qFormat="1" w:semiHidden="0" w:uiPriority="0" w:unhideWhenUsed="0"/>
    <w:lsdException w:name="toc 3" w:qFormat="1"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0" w:unhideWhenUsed="0"/>
    <w:lsdException w:name="annotation text" w:qFormat="1" w:semiHidden="0" w:uiPriority="0" w:unhideWhenUsed="0"/>
    <w:lsdException w:name="header" w:qFormat="1" w:semiHidden="0" w:uiPriority="0" w:unhideWhenUsed="0"/>
    <w:lsdException w:name="footer" w:qFormat="1" w:semiHidden="0" w:uiPriority="0" w:unhideWhenUsed="0"/>
    <w:lsdException w:name="index heading" w:semiHidden="0" w:uiPriority="0" w:unhideWhenUsed="0"/>
    <w:lsdException w:name="caption" w:qFormat="1" w:semiHidden="0"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qFormat="1" w:semiHidden="0" w:uiPriority="0" w:unhideWhenUsed="0"/>
    <w:lsdException w:name="line number" w:semiHidden="0" w:uiPriority="0" w:unhideWhenUsed="0"/>
    <w:lsdException w:name="page number" w:qFormat="1" w:semiHidden="0" w:uiPriority="0" w:unhideWhenUsed="0"/>
    <w:lsdException w:name="endnote reference" w:qFormat="1" w:semiHidden="0" w:uiPriority="0" w:unhideWhenUsed="0"/>
    <w:lsdException w:name="endnote text" w:qFormat="1"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qFormat="1" w:semiHidden="0" w:uiPriority="0" w:unhideWhenUsed="0"/>
    <w:lsdException w:name="Default Paragraph Font" w:qFormat="1" w:uiPriority="0" w:unhideWhenUsed="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qFormat="1"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qFormat="1" w:semiHidden="0" w:uiPriority="0" w:unhideWhenUsed="0"/>
    <w:lsdException w:name="FollowedHyperlink" w:qFormat="1"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qFormat="1"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qFormat="1"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0" w:unhideWhenUsed="0"/>
    <w:lsdException w:name="annotation subject" w:qFormat="1"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qFormat="1"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adjustRightInd w:val="0"/>
      <w:snapToGrid w:val="0"/>
      <w:spacing w:after="20" w:afterLines="20" w:line="288" w:lineRule="auto"/>
      <w:jc w:val="both"/>
    </w:pPr>
    <w:rPr>
      <w:rFonts w:asciiTheme="minorAscii" w:cstheme="minorBidi" w:eastAsiaTheme="minorEastAsia" w:hAnsiTheme="minorAscii"/>
      <w:kern w:val="2"/>
      <w:sz w:val="24"/>
      <w:szCs w:val="24"/>
      <w:lang w:bidi="ar-SA" w:eastAsia="zh-CN" w:val="en-US"/>
    </w:rPr>
  </w:style>
  <w:style w:styleId="2" w:type="paragraph">
    <w:name w:val="heading 1"/>
    <w:basedOn w:val="1"/>
    <w:next w:val="1"/>
    <w:qFormat/>
    <w:uiPriority w:val="0"/>
    <w:pPr>
      <w:keepNext/>
      <w:keepLines/>
      <w:adjustRightInd w:val="0"/>
      <w:snapToGrid w:val="0"/>
      <w:spacing w:after="80" w:afterAutospacing="0" w:afterLines="80" w:beforeAutospacing="0" w:beforeLines="0" w:line="288" w:lineRule="auto"/>
      <w:outlineLvl w:val="0"/>
    </w:pPr>
    <w:rPr>
      <w:b/>
      <w:bCs/>
      <w:kern w:val="44"/>
      <w:sz w:val="36"/>
      <w:szCs w:val="36"/>
    </w:rPr>
  </w:style>
  <w:style w:styleId="3" w:type="paragraph">
    <w:name w:val="heading 2"/>
    <w:basedOn w:val="1"/>
    <w:next w:val="1"/>
    <w:unhideWhenUsed/>
    <w:qFormat/>
    <w:uiPriority w:val="0"/>
    <w:pPr>
      <w:keepNext/>
      <w:keepLines/>
      <w:spacing w:after="80" w:afterAutospacing="0" w:afterLines="80" w:before="120" w:beforeAutospacing="0" w:beforeLines="120" w:line="288" w:lineRule="auto"/>
      <w:outlineLvl w:val="1"/>
    </w:pPr>
    <w:rPr>
      <w:b/>
      <w:bCs/>
      <w:sz w:val="32"/>
      <w:szCs w:val="32"/>
    </w:rPr>
  </w:style>
  <w:style w:styleId="4" w:type="paragraph">
    <w:name w:val="heading 3"/>
    <w:basedOn w:val="1"/>
    <w:next w:val="1"/>
    <w:unhideWhenUsed/>
    <w:qFormat/>
    <w:uiPriority w:val="0"/>
    <w:pPr>
      <w:keepNext/>
      <w:keepLines/>
      <w:spacing w:after="80" w:afterAutospacing="0" w:afterLines="80" w:before="120" w:beforeAutospacing="0" w:beforeLines="120" w:line="288" w:lineRule="auto"/>
      <w:outlineLvl w:val="2"/>
    </w:pPr>
    <w:rPr>
      <w:b/>
      <w:bCs/>
      <w:sz w:val="30"/>
      <w:szCs w:val="30"/>
    </w:rPr>
  </w:style>
  <w:style w:styleId="5" w:type="paragraph">
    <w:name w:val="heading 4"/>
    <w:basedOn w:val="1"/>
    <w:next w:val="1"/>
    <w:unhideWhenUsed/>
    <w:qFormat/>
    <w:uiPriority w:val="0"/>
    <w:pPr>
      <w:keepNext/>
      <w:keepLines/>
      <w:spacing w:after="80" w:afterAutospacing="0" w:afterLines="80" w:before="120" w:beforeAutospacing="0" w:beforeLines="120" w:line="288" w:lineRule="auto"/>
      <w:outlineLvl w:val="3"/>
    </w:pPr>
    <w:rPr>
      <w:b/>
      <w:bCs/>
      <w:sz w:val="28"/>
      <w:szCs w:val="28"/>
    </w:rPr>
  </w:style>
  <w:style w:styleId="6" w:type="paragraph">
    <w:name w:val="heading 5"/>
    <w:basedOn w:val="1"/>
    <w:next w:val="7"/>
    <w:unhideWhenUsed/>
    <w:qFormat/>
    <w:uiPriority w:val="0"/>
    <w:pPr>
      <w:keepNext/>
      <w:keepLines/>
      <w:spacing w:after="80" w:afterAutospacing="0" w:afterLines="80" w:before="120" w:beforeAutospacing="0" w:beforeLines="120" w:line="288" w:lineRule="auto"/>
      <w:outlineLvl w:val="4"/>
    </w:pPr>
    <w:rPr>
      <w:b/>
      <w:bCs/>
    </w:rPr>
  </w:style>
  <w:style w:styleId="8" w:type="paragraph">
    <w:name w:val="heading 6"/>
    <w:basedOn w:val="1"/>
    <w:next w:val="7"/>
    <w:unhideWhenUsed/>
    <w:qFormat/>
    <w:uiPriority w:val="0"/>
    <w:pPr>
      <w:keepNext/>
      <w:keepLines/>
      <w:spacing w:after="80" w:afterAutospacing="0" w:afterLines="80" w:before="120" w:beforeAutospacing="0" w:beforeLines="120" w:line="288" w:lineRule="auto"/>
      <w:outlineLvl w:val="5"/>
    </w:pPr>
    <w:rPr>
      <w:rFonts w:asciiTheme="minorAscii" w:eastAsiaTheme="minorEastAsia" w:hAnsiTheme="minorAscii"/>
      <w:b/>
      <w:bCs/>
    </w:rPr>
  </w:style>
  <w:style w:styleId="9" w:type="paragraph">
    <w:name w:val="heading 7"/>
    <w:basedOn w:val="1"/>
    <w:next w:val="7"/>
    <w:unhideWhenUsed/>
    <w:qFormat/>
    <w:uiPriority w:val="0"/>
    <w:pPr>
      <w:keepNext/>
      <w:keepLines/>
      <w:spacing w:after="80" w:afterAutospacing="0" w:afterLines="80" w:before="120" w:beforeAutospacing="0" w:beforeLines="120" w:line="288" w:lineRule="auto"/>
      <w:outlineLvl w:val="6"/>
    </w:pPr>
    <w:rPr>
      <w:rFonts w:asciiTheme="minorAscii" w:eastAsiaTheme="minorEastAsia" w:hAnsiTheme="minorAscii"/>
      <w:b/>
      <w:bCs/>
    </w:rPr>
  </w:style>
  <w:style w:styleId="10" w:type="paragraph">
    <w:name w:val="heading 8"/>
    <w:basedOn w:val="1"/>
    <w:next w:val="7"/>
    <w:unhideWhenUsed/>
    <w:qFormat/>
    <w:uiPriority w:val="0"/>
    <w:pPr>
      <w:keepNext/>
      <w:keepLines/>
      <w:spacing w:after="80" w:afterAutospacing="0" w:afterLines="80" w:before="120" w:beforeAutospacing="0" w:beforeLines="120" w:line="288" w:lineRule="auto"/>
      <w:outlineLvl w:val="7"/>
    </w:pPr>
    <w:rPr>
      <w:rFonts w:asciiTheme="minorAscii" w:eastAsiaTheme="minorEastAsia" w:hAnsiTheme="minorAscii"/>
      <w:b/>
      <w:bCs/>
    </w:rPr>
  </w:style>
  <w:style w:styleId="11" w:type="paragraph">
    <w:name w:val="heading 9"/>
    <w:basedOn w:val="1"/>
    <w:next w:val="7"/>
    <w:unhideWhenUsed/>
    <w:qFormat/>
    <w:uiPriority w:val="0"/>
    <w:pPr>
      <w:keepNext/>
      <w:keepLines/>
      <w:spacing w:after="80" w:afterAutospacing="0" w:afterLines="80" w:before="120" w:beforeAutospacing="0" w:beforeLines="120" w:line="288" w:lineRule="auto"/>
      <w:outlineLvl w:val="8"/>
    </w:pPr>
    <w:rPr>
      <w:rFonts w:asciiTheme="minorAscii" w:eastAsiaTheme="minorEastAsia" w:hAnsiTheme="minorAscii"/>
      <w:b/>
      <w:bCs/>
      <w:sz w:val="24"/>
    </w:rPr>
  </w:style>
  <w:style w:default="1" w:styleId="30" w:type="character">
    <w:name w:val="Default Paragraph Font"/>
    <w:semiHidden/>
    <w:qFormat/>
    <w:uiPriority w:val="0"/>
  </w:style>
  <w:style w:default="1" w:styleId="29" w:type="table">
    <w:name w:val="Normal Table"/>
    <w:semiHidden/>
    <w:qFormat/>
    <w:uiPriority w:val="0"/>
    <w:tblPr>
      <w:tblCellMar>
        <w:top w:type="dxa" w:w="0"/>
        <w:left w:type="dxa" w:w="108"/>
        <w:bottom w:type="dxa" w:w="0"/>
        <w:right w:type="dxa" w:w="108"/>
      </w:tblCellMar>
    </w:tblPr>
  </w:style>
  <w:style w:styleId="7" w:type="paragraph">
    <w:name w:val="Body Text"/>
    <w:basedOn w:val="1"/>
    <w:qFormat/>
    <w:uiPriority w:val="0"/>
    <w:pPr>
      <w:spacing w:after="120" w:afterAutospacing="0" w:afterLines="0"/>
    </w:pPr>
  </w:style>
  <w:style w:styleId="12" w:type="paragraph">
    <w:name w:val="caption"/>
    <w:basedOn w:val="1"/>
    <w:next w:val="1"/>
    <w:unhideWhenUsed/>
    <w:qFormat/>
    <w:uiPriority w:val="0"/>
    <w:pPr>
      <w:ind w:firstLine="0" w:firstLineChars="0"/>
    </w:pPr>
    <w:rPr>
      <w:rFonts w:asciiTheme="minorAscii" w:cs="Times New Roman" w:eastAsiaTheme="minorEastAsia" w:hAnsiTheme="minorAscii"/>
      <w:sz w:val="24"/>
    </w:rPr>
  </w:style>
  <w:style w:styleId="13" w:type="paragraph">
    <w:name w:val="annotation text"/>
    <w:basedOn w:val="1"/>
    <w:qFormat/>
    <w:uiPriority w:val="0"/>
    <w:pPr>
      <w:jc w:val="left"/>
    </w:pPr>
    <w:rPr>
      <w:color w:themeColor="text1" w:themeTint="D9" w:val="262626"/>
      <w14:textFill>
        <w14:solidFill>
          <w14:schemeClr w14:val="tx1">
            <w14:lumMod w14:val="85000"/>
            <w14:lumOff w14:val="15000"/>
          </w14:schemeClr>
        </w14:solidFill>
      </w14:textFill>
    </w:rPr>
  </w:style>
  <w:style w:styleId="14" w:type="paragraph">
    <w:name w:val="Salutation"/>
    <w:basedOn w:val="1"/>
    <w:next w:val="1"/>
    <w:qFormat/>
    <w:uiPriority w:val="0"/>
  </w:style>
  <w:style w:styleId="15" w:type="paragraph">
    <w:name w:val="toc 3"/>
    <w:basedOn w:val="1"/>
    <w:next w:val="1"/>
    <w:qFormat/>
    <w:uiPriority w:val="0"/>
    <w:pPr>
      <w:ind w:left="840" w:leftChars="400"/>
    </w:pPr>
  </w:style>
  <w:style w:styleId="16" w:type="paragraph">
    <w:name w:val="Date"/>
    <w:basedOn w:val="1"/>
    <w:next w:val="1"/>
    <w:qFormat/>
    <w:uiPriority w:val="0"/>
    <w:pPr>
      <w:ind w:firstLine="0" w:firstLineChars="0"/>
      <w:jc w:val="right"/>
    </w:pPr>
    <w:rPr>
      <w:color w:themeColor="text1" w:themeTint="D9" w:val="262626"/>
      <w14:textFill>
        <w14:solidFill>
          <w14:schemeClr w14:val="tx1">
            <w14:lumMod w14:val="85000"/>
            <w14:lumOff w14:val="15000"/>
          </w14:schemeClr>
        </w14:solidFill>
      </w14:textFill>
    </w:rPr>
  </w:style>
  <w:style w:styleId="17" w:type="paragraph">
    <w:name w:val="endnote text"/>
    <w:basedOn w:val="1"/>
    <w:qFormat/>
    <w:uiPriority w:val="0"/>
    <w:pPr>
      <w:jc w:val="left"/>
    </w:pPr>
    <w:rPr>
      <w:color w:themeColor="text1" w:themeTint="D9" w:val="262626"/>
      <w14:textFill>
        <w14:solidFill>
          <w14:schemeClr w14:val="tx1">
            <w14:lumMod w14:val="85000"/>
            <w14:lumOff w14:val="15000"/>
          </w14:schemeClr>
        </w14:solidFill>
      </w14:textFill>
    </w:rPr>
  </w:style>
  <w:style w:styleId="18" w:type="paragraph">
    <w:name w:val="Balloon Text"/>
    <w:basedOn w:val="1"/>
    <w:qFormat/>
    <w:uiPriority w:val="0"/>
    <w:rPr>
      <w:sz w:val="18"/>
      <w:szCs w:val="18"/>
    </w:rPr>
  </w:style>
  <w:style w:styleId="19" w:type="paragraph">
    <w:name w:val="footer"/>
    <w:basedOn w:val="1"/>
    <w:qFormat/>
    <w:uiPriority w:val="0"/>
    <w:pPr>
      <w:tabs>
        <w:tab w:pos="4153" w:val="center"/>
        <w:tab w:pos="8306" w:val="right"/>
      </w:tabs>
      <w:ind w:firstLine="0" w:firstLineChars="0"/>
      <w:jc w:val="left"/>
    </w:pPr>
    <w:rPr>
      <w:sz w:val="18"/>
      <w:szCs w:val="18"/>
    </w:rPr>
  </w:style>
  <w:style w:styleId="20" w:type="paragraph">
    <w:name w:val="header"/>
    <w:basedOn w:val="1"/>
    <w:qFormat/>
    <w:uiPriority w:val="0"/>
    <w:pPr>
      <w:pBdr>
        <w:top w:color="auto" w:space="1" w:sz="0" w:val="none"/>
        <w:left w:color="auto" w:space="4" w:sz="0" w:val="none"/>
        <w:bottom w:color="auto" w:space="1" w:sz="0" w:val="none"/>
        <w:right w:color="auto" w:space="4" w:sz="0" w:val="none"/>
      </w:pBdr>
      <w:tabs>
        <w:tab w:pos="4153" w:val="center"/>
        <w:tab w:pos="8306" w:val="right"/>
      </w:tabs>
      <w:spacing w:line="240" w:lineRule="auto"/>
    </w:pPr>
    <w:rPr>
      <w:sz w:val="18"/>
      <w:szCs w:val="18"/>
    </w:rPr>
  </w:style>
  <w:style w:styleId="21" w:type="paragraph">
    <w:name w:val="Signature"/>
    <w:basedOn w:val="1"/>
    <w:qFormat/>
    <w:uiPriority w:val="0"/>
    <w:pPr>
      <w:ind w:firstLine="0" w:firstLineChars="0"/>
      <w:jc w:val="right"/>
    </w:pPr>
    <w:rPr>
      <w:color w:themeColor="text1" w:themeTint="D9" w:val="262626"/>
      <w14:textFill>
        <w14:solidFill>
          <w14:schemeClr w14:val="tx1">
            <w14:lumMod w14:val="85000"/>
            <w14:lumOff w14:val="15000"/>
          </w14:schemeClr>
        </w14:solidFill>
      </w14:textFill>
    </w:rPr>
  </w:style>
  <w:style w:styleId="22" w:type="paragraph">
    <w:name w:val="toc 1"/>
    <w:basedOn w:val="1"/>
    <w:next w:val="1"/>
    <w:qFormat/>
    <w:uiPriority w:val="0"/>
  </w:style>
  <w:style w:styleId="23" w:type="paragraph">
    <w:name w:val="Subtitle"/>
    <w:basedOn w:val="1"/>
    <w:next w:val="7"/>
    <w:qFormat/>
    <w:uiPriority w:val="0"/>
    <w:pPr>
      <w:spacing w:after="60" w:afterAutospacing="0" w:afterLines="0" w:before="240" w:beforeAutospacing="0" w:beforeLines="0" w:line="312" w:lineRule="auto"/>
      <w:jc w:val="center"/>
      <w:outlineLvl w:val="1"/>
    </w:pPr>
    <w:rPr>
      <w:rFonts w:asciiTheme="majorAscii" w:eastAsiaTheme="majorEastAsia" w:hAnsiTheme="majorAscii"/>
      <w:b/>
      <w:kern w:val="28"/>
      <w:sz w:val="32"/>
      <w:szCs w:val="32"/>
    </w:rPr>
  </w:style>
  <w:style w:styleId="24" w:type="paragraph">
    <w:name w:val="footnote text"/>
    <w:basedOn w:val="1"/>
    <w:qFormat/>
    <w:uiPriority w:val="0"/>
    <w:pPr>
      <w:jc w:val="left"/>
    </w:pPr>
    <w:rPr>
      <w:rFonts w:asciiTheme="minorAscii" w:eastAsiaTheme="minorEastAsia" w:hAnsiTheme="minorAscii"/>
      <w:sz w:val="24"/>
      <w:szCs w:val="24"/>
    </w:rPr>
  </w:style>
  <w:style w:styleId="25" w:type="paragraph">
    <w:name w:val="toc 2"/>
    <w:basedOn w:val="1"/>
    <w:next w:val="1"/>
    <w:qFormat/>
    <w:uiPriority w:val="0"/>
    <w:pPr>
      <w:ind w:left="420" w:leftChars="200"/>
    </w:pPr>
  </w:style>
  <w:style w:styleId="26" w:type="paragraph">
    <w:name w:val="HTML Preformatted"/>
    <w:basedOn w:val="1"/>
    <w:qFormat/>
    <w:uiPriority w:val="0"/>
    <w:rPr>
      <w:rFonts w:ascii="Courier New" w:hAnsi="Courier New"/>
      <w:sz w:val="20"/>
    </w:rPr>
  </w:style>
  <w:style w:styleId="27" w:type="paragraph">
    <w:name w:val="Title"/>
    <w:basedOn w:val="1"/>
    <w:qFormat/>
    <w:uiPriority w:val="0"/>
    <w:pPr>
      <w:adjustRightInd w:val="0"/>
      <w:snapToGrid w:val="0"/>
      <w:spacing w:after="100" w:afterAutospacing="0" w:afterLines="100" w:beforeAutospacing="0" w:beforeLines="0"/>
      <w:jc w:val="center"/>
      <w:outlineLvl w:val="0"/>
    </w:pPr>
    <w:rPr>
      <w:rFonts w:asciiTheme="majorAscii" w:eastAsiaTheme="majorEastAsia" w:hAnsiTheme="majorAscii"/>
      <w:b/>
      <w:bCs/>
      <w:sz w:val="44"/>
      <w:szCs w:val="44"/>
    </w:rPr>
  </w:style>
  <w:style w:styleId="28" w:type="paragraph">
    <w:name w:val="annotation subject"/>
    <w:basedOn w:val="13"/>
    <w:next w:val="13"/>
    <w:qFormat/>
    <w:uiPriority w:val="0"/>
    <w:rPr>
      <w:b/>
      <w:color w:themeColor="text1" w:themeTint="D9" w:val="262626"/>
      <w14:textFill>
        <w14:solidFill>
          <w14:schemeClr w14:val="tx1">
            <w14:lumMod w14:val="85000"/>
            <w14:lumOff w14:val="15000"/>
          </w14:schemeClr>
        </w14:solidFill>
      </w14:textFill>
    </w:rPr>
  </w:style>
  <w:style w:styleId="31" w:type="character">
    <w:name w:val="endnote reference"/>
    <w:basedOn w:val="30"/>
    <w:qFormat/>
    <w:uiPriority w:val="0"/>
    <w:rPr>
      <w:rFonts w:asciiTheme="minorAscii" w:eastAsiaTheme="minorEastAsia" w:hAnsiTheme="minorAscii"/>
      <w:color w:themeColor="text1" w:themeTint="D9" w:val="262626"/>
      <w:vertAlign w:val="superscript"/>
      <w14:textFill>
        <w14:solidFill>
          <w14:schemeClr w14:val="tx1">
            <w14:lumMod w14:val="85000"/>
            <w14:lumOff w14:val="15000"/>
          </w14:schemeClr>
        </w14:solidFill>
      </w14:textFill>
    </w:rPr>
  </w:style>
  <w:style w:styleId="32" w:type="character">
    <w:name w:val="page number"/>
    <w:qFormat/>
    <w:uiPriority w:val="0"/>
    <w:rPr>
      <w:rFonts w:asciiTheme="minorAscii" w:cs="Times New Roman" w:eastAsiaTheme="minorEastAsia" w:hAnsiTheme="minorAscii"/>
      <w:color w:themeColor="text1" w:themeTint="D9" w:val="262626"/>
      <w:spacing w:val="-6"/>
      <w:kern w:val="2"/>
      <w:sz w:val="28"/>
      <w:szCs w:val="28"/>
      <w:lang w:bidi="ar-SA" w:eastAsia="zh-CN" w:val="en-US"/>
      <w14:textFill>
        <w14:solidFill>
          <w14:schemeClr w14:val="tx1">
            <w14:lumMod w14:val="85000"/>
            <w14:lumOff w14:val="15000"/>
          </w14:schemeClr>
        </w14:solidFill>
      </w14:textFill>
    </w:rPr>
  </w:style>
  <w:style w:styleId="33" w:type="character">
    <w:name w:val="FollowedHyperlink"/>
    <w:basedOn w:val="30"/>
    <w:qFormat/>
    <w:uiPriority w:val="0"/>
    <w:rPr>
      <w:rFonts w:asciiTheme="minorAscii" w:cs="Times New Roman" w:eastAsiaTheme="minorEastAsia" w:hAnsiTheme="minorAscii"/>
      <w:color w:val="800080"/>
      <w:spacing w:val="-6"/>
      <w:kern w:val="2"/>
      <w:sz w:val="24"/>
      <w:szCs w:val="24"/>
      <w:u w:val="single"/>
      <w:lang w:bidi="ar-SA" w:eastAsia="zh-CN" w:val="en-US"/>
    </w:rPr>
  </w:style>
  <w:style w:styleId="34" w:type="character">
    <w:name w:val="Emphasis"/>
    <w:basedOn w:val="30"/>
    <w:qFormat/>
    <w:uiPriority w:val="0"/>
    <w:rPr>
      <w:i/>
    </w:rPr>
  </w:style>
  <w:style w:styleId="35" w:type="character">
    <w:name w:val="Hyperlink"/>
    <w:basedOn w:val="30"/>
    <w:qFormat/>
    <w:uiPriority w:val="0"/>
    <w:rPr>
      <w:rFonts w:asciiTheme="minorAscii" w:cs="Times New Roman" w:eastAsiaTheme="minorEastAsia" w:hAnsiTheme="minorAscii"/>
      <w:caps/>
      <w:color w:val="0000FF"/>
      <w:spacing w:val="-6"/>
      <w:kern w:val="2"/>
      <w:sz w:val="24"/>
      <w:szCs w:val="24"/>
      <w:u w:val="single"/>
      <w:lang w:bidi="ar-SA" w:eastAsia="zh-CN" w:val="en-US"/>
    </w:rPr>
  </w:style>
  <w:style w:styleId="36" w:type="character">
    <w:name w:val="annotation reference"/>
    <w:basedOn w:val="30"/>
    <w:qFormat/>
    <w:uiPriority w:val="0"/>
    <w:rPr>
      <w:rFonts w:asciiTheme="minorAscii" w:eastAsiaTheme="minorEastAsia" w:hAnsiTheme="minorAscii"/>
      <w:color w:themeColor="text1" w:themeTint="D9" w:val="262626"/>
      <w:sz w:val="21"/>
      <w:szCs w:val="21"/>
      <w14:textFill>
        <w14:solidFill>
          <w14:schemeClr w14:val="tx1">
            <w14:lumMod w14:val="85000"/>
            <w14:lumOff w14:val="15000"/>
          </w14:schemeClr>
        </w14:solidFill>
      </w14:textFill>
    </w:rPr>
  </w:style>
  <w:style w:styleId="37" w:type="character">
    <w:name w:val="footnote reference"/>
    <w:basedOn w:val="30"/>
    <w:qFormat/>
    <w:uiPriority w:val="0"/>
    <w:rPr>
      <w:rFonts w:asciiTheme="minorAscii" w:eastAsiaTheme="minorEastAsia" w:hAnsiTheme="minorAscii"/>
      <w:color w:themeColor="text1" w:themeTint="D9" w:val="262626"/>
      <w:vertAlign w:val="superscript"/>
      <w14:textFill>
        <w14:solidFill>
          <w14:schemeClr w14:val="tx1">
            <w14:lumMod w14:val="85000"/>
            <w14:lumOff w14:val="15000"/>
          </w14:schemeClr>
        </w14:solidFill>
      </w14:textFill>
    </w:rPr>
  </w:style>
  <w:style w:customStyle="1" w:styleId="38" w:type="paragraph">
    <w:name w:val="合同正文"/>
    <w:uiPriority w:val="0"/>
    <w:pPr>
      <w:spacing w:line="360" w:lineRule="auto"/>
      <w:ind w:firstLine="480" w:firstLineChars="200"/>
      <w:jc w:val="both"/>
    </w:pPr>
    <w:rPr>
      <w:rFonts w:ascii="Times New Roman" w:eastAsia="仿宋" w:hAnsi="Times New Roman" w:hint="eastAsia"/>
      <w:sz w:val="24"/>
      <w:lang w:val="en-US"/>
    </w:rPr>
  </w:style>
  <w:style w:customStyle="1" w:styleId="39" w:type="paragraph">
    <w:name w:val="1级编号"/>
    <w:next w:val="38"/>
    <w:link w:val="46"/>
    <w:uiPriority w:val="0"/>
    <w:pPr>
      <w:keepNext/>
      <w:keepLines/>
      <w:numPr>
        <w:ilvl w:val="0"/>
        <w:numId w:val="1"/>
      </w:numPr>
      <w:tabs>
        <w:tab w:pos="420" w:val="left"/>
      </w:tabs>
      <w:bidi w:val="0"/>
      <w:spacing w:after="40" w:afterLines="0" w:before="40" w:beforeLines="0" w:line="576" w:lineRule="auto"/>
      <w:ind w:firstLine="0" w:firstLineChars="0" w:left="0" w:leftChars="0"/>
      <w:jc w:val="left"/>
      <w:outlineLvl w:val="0"/>
    </w:pPr>
    <w:rPr>
      <w:rFonts w:ascii="Times New Roman" w:eastAsia="仿宋" w:hAnsi="Times New Roman"/>
      <w:b/>
      <w:kern w:val="44"/>
      <w:sz w:val="24"/>
      <w:lang w:eastAsia="zh-CN" w:val="en-US"/>
    </w:rPr>
  </w:style>
  <w:style w:customStyle="1" w:styleId="40" w:type="paragraph">
    <w:name w:val="2级编号"/>
    <w:basedOn w:val="1"/>
    <w:uiPriority w:val="0"/>
    <w:pPr>
      <w:keepNext/>
      <w:keepLines/>
      <w:numPr>
        <w:ilvl w:val="1"/>
        <w:numId w:val="2"/>
      </w:numPr>
      <w:spacing w:after="40" w:afterLines="0" w:before="40" w:beforeLines="0" w:line="576" w:lineRule="auto"/>
      <w:ind w:firstLine="0" w:firstLineChars="0"/>
      <w:jc w:val="left"/>
      <w:outlineLvl w:val="0"/>
    </w:pPr>
    <w:rPr>
      <w:rFonts w:hint="eastAsia"/>
      <w:b/>
      <w:kern w:val="44"/>
      <w:lang w:val="en-US"/>
    </w:rPr>
  </w:style>
  <w:style w:customStyle="1" w:styleId="41" w:type="paragraph">
    <w:name w:val="合同标题"/>
    <w:qFormat/>
    <w:uiPriority w:val="0"/>
    <w:pPr>
      <w:jc w:val="center"/>
    </w:pPr>
    <w:rPr>
      <w:rFonts w:ascii="Times New Roman" w:cs="Times New Roman" w:eastAsia="仿宋" w:hAnsi="Times New Roman"/>
      <w:b/>
      <w:sz w:val="32"/>
      <w:lang w:eastAsia="zh-CN"/>
    </w:rPr>
  </w:style>
  <w:style w:customStyle="1" w:styleId="42" w:type="paragraph">
    <w:name w:val="3级编号"/>
    <w:next w:val="38"/>
    <w:uiPriority w:val="0"/>
    <w:pPr>
      <w:keepNext/>
      <w:keepLines/>
      <w:numPr>
        <w:ilvl w:val="2"/>
        <w:numId w:val="2"/>
      </w:numPr>
      <w:spacing w:after="40" w:afterLines="0" w:before="40" w:beforeLines="0" w:line="360" w:lineRule="auto"/>
      <w:ind w:firstLine="1134" w:firstLineChars="0"/>
      <w:jc w:val="left"/>
      <w:outlineLvl w:val="0"/>
    </w:pPr>
    <w:rPr>
      <w:rFonts w:ascii="Times New Roman" w:eastAsia="仿宋" w:hAnsi="Times New Roman" w:hint="eastAsia"/>
      <w:kern w:val="44"/>
      <w:sz w:val="24"/>
      <w:lang w:val="en-US"/>
    </w:rPr>
  </w:style>
  <w:style w:styleId="43" w:type="character">
    <w:name w:val="Strong"/>
    <w:basedOn w:val="30"/>
    <w:qFormat/>
    <w:uiPriority w:val="0"/>
    <w:rPr>
      <w:rFonts w:asciiTheme="minorAscii" w:eastAsiaTheme="minorEastAsia" w:hAnsiTheme="minorAscii"/>
      <w:b/>
    </w:rPr>
  </w:style>
  <w:style w:styleId="44" w:type="paragraph">
    <w:name w:val="Normal (Web)"/>
    <w:basedOn w:val="1"/>
    <w:qFormat/>
    <w:uiPriority w:val="0"/>
    <w:rPr>
      <w:sz w:val="24"/>
    </w:rPr>
  </w:style>
  <w:style w:customStyle="1" w:styleId="45" w:type="paragraph">
    <w:name w:val="合同主体"/>
    <w:uiPriority w:val="0"/>
    <w:pPr>
      <w:ind w:firstLine="643" w:firstLineChars="200"/>
    </w:pPr>
    <w:rPr>
      <w:rFonts w:ascii="Times New Roman" w:eastAsia="仿宋" w:hAnsi="Times New Roman"/>
      <w:b/>
      <w:sz w:val="28"/>
    </w:rPr>
  </w:style>
  <w:style w:customStyle="1" w:styleId="46" w:type="character">
    <w:name w:val="1级编号 Char"/>
    <w:link w:val="39"/>
    <w:uiPriority w:val="0"/>
    <w:rPr>
      <w:rFonts w:ascii="Times New Roman" w:eastAsia="仿宋" w:hAnsi="Times New Roman"/>
      <w:b/>
      <w:kern w:val="44"/>
      <w:sz w:val="24"/>
      <w:lang w:eastAsia="zh-CN"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762</Words>
  <Characters>786</Characters>
  <Lines>0</Lines>
  <Paragraphs>0</Paragraphs>
  <TotalTime>42</TotalTime>
  <ScaleCrop>false</ScaleCrop>
  <LinksUpToDate>false</LinksUpToDate>
  <CharactersWithSpaces>808</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2025-11-01T11:37:24Z</dcterms:created>
  <dcterms:modified xsi:type="dcterms:W3CDTF">2025-11-01T11:37:24Z</dcterms:modified>
</cp:coreProperties>
</file>

<file path=docProps/custom.xml><?xml version="1.0" encoding="utf-8"?>
<Properties xmlns="http://schemas.openxmlformats.org/officeDocument/2006/custom-properties" xmlns:vt="http://schemas.openxmlformats.org/officeDocument/2006/docPropsVTypes"/>
</file>