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【定稿】韩啸长期激励方案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一、方案概述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（一）核心设计原则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于绿融创新未来具备资本化价值，且绿融创合持有绿融创新股权可分享其未来资本化收益，因此拟在绿融创合层面为韩啸配置一定比例股权；同时，为更高效激励绿融创合当前创业发展，在公司实现特定净利润目标时，韩啸可按更高比例参与分红分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本次激励对象为对公司核心价值创造起关键作用的人员，具体包括：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业务负责人：韩啸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未来核心业务骨干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二、激励工具设计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长期激励工具：选用限制性股权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（一）公司估值与股权池设置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2100"/>
        <w:gridCol w:w="2445"/>
        <w:gridCol w:w="259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激励维度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A. 绿融创合 (主体公司)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B. 绿融创新 (合资公司)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C. 金融科技公司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韩啸角色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业务开拓者、管理者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合作项目管理者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知识贡献者 (基于业务BA)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业务范畴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自拓的轻资产服务项目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经廖博士介绍或关联的轻资产服务项目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为金融科技产品研发提供知识支持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激励模式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分红+分股模式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积分换股模式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激励工具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现金分红+限制性股权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期权 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注册资本金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100万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100万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股比分配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种子轮投资者：30%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非本公司其他贡献者：20%（指定代持）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员工期权池：10%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韩啸：40%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上海越见持股比例为34%。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绿融创合持股比例为66%。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利润分配规则：绿融创新的利润中，归属于绿融创合的部分，依照绿融创合的分配规则予以分配。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韩啸持续提供高质量知识服务以支撑研发成功。从战略价值、贡献度维度进行综合评估，通过 “积分换股” 模式将服务价值兑换为股份，实现知识贡献与长期收益的绑定。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行权价格、归属条件、退出等细则以金融科技公司期权方案为准。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韩啸归属周期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四年四期，一年断崖期，每期归属10%股比，按1元/股出资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5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分配规则</w:t>
            </w:r>
          </w:p>
        </w:tc>
        <w:tc>
          <w:tcPr>
            <w:tcW w:w="45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当净利润 ≤ 300万元时：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采用现金分红模式，按净利润区间</w:t>
            </w:r>
            <w:r>
              <w:rPr>
                <w:rFonts w:eastAsia="等线" w:ascii="Arial" w:cs="Arial" w:hAnsi="Arial"/>
                <w:b w:val="true"/>
                <w:sz w:val="22"/>
              </w:rPr>
              <w:t>阶梯分配</w:t>
            </w:r>
            <w:r>
              <w:rPr>
                <w:rFonts w:eastAsia="等线" w:ascii="Arial" w:cs="Arial" w:hAnsi="Arial"/>
                <w:sz w:val="22"/>
              </w:rPr>
              <w:t>（比例逼近法）。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韩啸及其团队享有总分红的一定比例，剩余部分由种子轮投资者、其他贡献者等按实际股权比例分配。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韩啸及团队分红 =70%（团队内部分配方案由韩啸提报）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集团及其他方分红 = 总分红中剩余部分，按30%（种子轮投资者）、20%（其他贡献者）等股权比例分配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当净利润 &gt; 300万元时：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超出300万元的部分采用分股分红模式，按各主体实际股权比例分配。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韩啸仅按其当前实际归属的股权比例参与超出部分的分红。</w:t>
            </w:r>
          </w:p>
        </w:tc>
        <w:tc>
          <w:tcPr>
            <w:tcW w:w="24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同股同权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【补充说明】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内部经营体间转介绍业务（如转介 EPC 项目 ），可享受对应渠道费用，其比例由双方协商确定，该内容不在本激励方案涵盖范围内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【其他说明】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起始日：以激励对象与公司签署的授予协议日期为准。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归属条件：激励对象需与公司保持劳动关系，且劳动关系持续存续至对应的股权归属日，这是股权归属的唯一前提条件。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悬崖期：首个周年日（即满 1 周年）为悬崖期，达到该时间节点后，一次性归属授予股权总量的 25%。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后续归属：激励对象通过悬崖期后，剩余未归属股权将在后续每个周年日，按每年 25% 的比例匀速归属。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三、退出机制【以合伙协议为准】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（一）离职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未归属部分自动作废。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已归属部分可由公司按事先约定的价格（如授予价或公允市场价的一定折扣）回购（以协议约定的回购条件为准）。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（二）其他（如并购、IPO）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所有尚未归属的股权部分立即实现 100% 加速归属，激励对象无需等待原归属期，即可获得全部未归属股权权益。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激励对象有权参与公司控制权变更相关事件，并根据其持有的股权份额获得相应收益。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四、附则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激励对象须与公司签署《限制性股票单位授予协议》后方可享受相应权益，该协议构成本方案不可分割的一部分。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五、测算表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</w:t>
      </w: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分红规则遵循“利润少时分红向韩啸倾斜”的导向，整体按7:3的核心比例进行设计。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采用“比例逼近法”：以每年度韩啸实际归属的股权比例为基数，逐步向前逼近70%的分红比例。因此测算表中，第1 - 4年的蓝色比例为各年度确定的分红比例。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本测算表关于韩啸个人的分红的测算，是基于团队分红总额的80%为模拟测算。实际团队内部的具体分配机制，需由韩啸提交详细方案，经审批通过后执行。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关于净利润基准线，分别测算了300万、400万、500万，综合考量选择300万作为基准线区分现金分红和股权分红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43810">
    <w:lvl>
      <w:numFmt w:val="bullet"/>
      <w:suff w:val="tab"/>
      <w:lvlText w:val="•"/>
      <w:rPr>
        <w:color w:val="3370ff"/>
      </w:rPr>
    </w:lvl>
  </w:abstractNum>
  <w:abstractNum w:abstractNumId="1943811">
    <w:lvl>
      <w:numFmt w:val="bullet"/>
      <w:suff w:val="tab"/>
      <w:lvlText w:val="•"/>
      <w:rPr>
        <w:color w:val="3370ff"/>
      </w:rPr>
    </w:lvl>
  </w:abstractNum>
  <w:abstractNum w:abstractNumId="1943812">
    <w:lvl>
      <w:start w:val="1"/>
      <w:numFmt w:val="decimal"/>
      <w:suff w:val="tab"/>
      <w:lvlText w:val="%1."/>
      <w:rPr>
        <w:color w:val="3370ff"/>
      </w:rPr>
    </w:lvl>
  </w:abstractNum>
  <w:abstractNum w:abstractNumId="1943813">
    <w:lvl>
      <w:start w:val="2"/>
      <w:numFmt w:val="decimal"/>
      <w:suff w:val="tab"/>
      <w:lvlText w:val="%1."/>
      <w:rPr>
        <w:color w:val="3370ff"/>
      </w:rPr>
    </w:lvl>
  </w:abstractNum>
  <w:abstractNum w:abstractNumId="1943814">
    <w:lvl>
      <w:start w:val="3"/>
      <w:numFmt w:val="decimal"/>
      <w:suff w:val="tab"/>
      <w:lvlText w:val="%1."/>
      <w:rPr>
        <w:color w:val="3370ff"/>
      </w:rPr>
    </w:lvl>
  </w:abstractNum>
  <w:abstractNum w:abstractNumId="1943815">
    <w:lvl>
      <w:start w:val="1"/>
      <w:numFmt w:val="decimal"/>
      <w:suff w:val="tab"/>
      <w:lvlText w:val="%1."/>
      <w:rPr>
        <w:color w:val="3370ff"/>
      </w:rPr>
    </w:lvl>
  </w:abstractNum>
  <w:abstractNum w:abstractNumId="1943816">
    <w:lvl>
      <w:numFmt w:val="bullet"/>
      <w:suff w:val="tab"/>
      <w:lvlText w:val="•"/>
      <w:rPr>
        <w:color w:val="3370ff"/>
      </w:rPr>
    </w:lvl>
  </w:abstractNum>
  <w:abstractNum w:abstractNumId="1943817">
    <w:lvl>
      <w:numFmt w:val="bullet"/>
      <w:suff w:val="tab"/>
      <w:lvlText w:val="•"/>
      <w:rPr>
        <w:color w:val="3370ff"/>
      </w:rPr>
    </w:lvl>
  </w:abstractNum>
  <w:abstractNum w:abstractNumId="1943818">
    <w:lvl>
      <w:start w:val="2"/>
      <w:numFmt w:val="decimal"/>
      <w:suff w:val="tab"/>
      <w:lvlText w:val="%1."/>
      <w:rPr>
        <w:color w:val="3370ff"/>
      </w:rPr>
    </w:lvl>
  </w:abstractNum>
  <w:abstractNum w:abstractNumId="1943819">
    <w:lvl>
      <w:start w:val="1"/>
      <w:numFmt w:val="decimal"/>
      <w:suff w:val="tab"/>
      <w:lvlText w:val="%1."/>
      <w:rPr>
        <w:color w:val="3370ff"/>
      </w:rPr>
    </w:lvl>
  </w:abstractNum>
  <w:abstractNum w:abstractNumId="1943820">
    <w:lvl>
      <w:start w:val="2"/>
      <w:numFmt w:val="decimal"/>
      <w:suff w:val="tab"/>
      <w:lvlText w:val="%1."/>
      <w:rPr>
        <w:color w:val="3370ff"/>
      </w:rPr>
    </w:lvl>
  </w:abstractNum>
  <w:abstractNum w:abstractNumId="1943821">
    <w:lvl>
      <w:start w:val="3"/>
      <w:numFmt w:val="decimal"/>
      <w:suff w:val="tab"/>
      <w:lvlText w:val="%1."/>
      <w:rPr>
        <w:color w:val="3370ff"/>
      </w:rPr>
    </w:lvl>
  </w:abstractNum>
  <w:abstractNum w:abstractNumId="1943822">
    <w:lvl>
      <w:start w:val="4"/>
      <w:numFmt w:val="decimal"/>
      <w:suff w:val="tab"/>
      <w:lvlText w:val="%1."/>
      <w:rPr>
        <w:color w:val="3370ff"/>
      </w:rPr>
    </w:lvl>
  </w:abstractNum>
  <w:abstractNum w:abstractNumId="1943823">
    <w:lvl>
      <w:numFmt w:val="bullet"/>
      <w:suff w:val="tab"/>
      <w:lvlText w:val="•"/>
      <w:rPr>
        <w:color w:val="3370ff"/>
      </w:rPr>
    </w:lvl>
  </w:abstractNum>
  <w:abstractNum w:abstractNumId="1943824">
    <w:lvl>
      <w:numFmt w:val="bullet"/>
      <w:suff w:val="tab"/>
      <w:lvlText w:val="•"/>
      <w:rPr>
        <w:color w:val="3370ff"/>
      </w:rPr>
    </w:lvl>
  </w:abstractNum>
  <w:abstractNum w:abstractNumId="1943825">
    <w:lvl>
      <w:numFmt w:val="bullet"/>
      <w:suff w:val="tab"/>
      <w:lvlText w:val="•"/>
      <w:rPr>
        <w:color w:val="3370ff"/>
      </w:rPr>
    </w:lvl>
  </w:abstractNum>
  <w:abstractNum w:abstractNumId="1943826">
    <w:lvl>
      <w:numFmt w:val="bullet"/>
      <w:suff w:val="tab"/>
      <w:lvlText w:val="•"/>
      <w:rPr>
        <w:color w:val="3370ff"/>
      </w:rPr>
    </w:lvl>
  </w:abstractNum>
  <w:abstractNum w:abstractNumId="1943827">
    <w:lvl>
      <w:start w:val="1"/>
      <w:numFmt w:val="decimal"/>
      <w:suff w:val="tab"/>
      <w:lvlText w:val="%1."/>
      <w:rPr>
        <w:color w:val="3370ff"/>
      </w:rPr>
    </w:lvl>
  </w:abstractNum>
  <w:abstractNum w:abstractNumId="1943828">
    <w:lvl>
      <w:start w:val="1"/>
      <w:numFmt w:val="decimal"/>
      <w:suff w:val="tab"/>
      <w:lvlText w:val="%1."/>
      <w:rPr>
        <w:color w:val="3370ff"/>
      </w:rPr>
    </w:lvl>
  </w:abstractNum>
  <w:abstractNum w:abstractNumId="1943829">
    <w:lvl>
      <w:start w:val="2"/>
      <w:numFmt w:val="decimal"/>
      <w:suff w:val="tab"/>
      <w:lvlText w:val="%1."/>
      <w:rPr>
        <w:color w:val="3370ff"/>
      </w:rPr>
    </w:lvl>
  </w:abstractNum>
  <w:abstractNum w:abstractNumId="194383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943810"/>
  </w:num>
  <w:num w:numId="2">
    <w:abstractNumId w:val="1943811"/>
  </w:num>
  <w:num w:numId="3">
    <w:abstractNumId w:val="1943812"/>
  </w:num>
  <w:num w:numId="4">
    <w:abstractNumId w:val="1943813"/>
  </w:num>
  <w:num w:numId="5">
    <w:abstractNumId w:val="1943814"/>
  </w:num>
  <w:num w:numId="6">
    <w:abstractNumId w:val="1943815"/>
  </w:num>
  <w:num w:numId="7">
    <w:abstractNumId w:val="1943816"/>
  </w:num>
  <w:num w:numId="8">
    <w:abstractNumId w:val="1943817"/>
  </w:num>
  <w:num w:numId="9">
    <w:abstractNumId w:val="1943818"/>
  </w:num>
  <w:num w:numId="10">
    <w:abstractNumId w:val="1943819"/>
  </w:num>
  <w:num w:numId="11">
    <w:abstractNumId w:val="1943820"/>
  </w:num>
  <w:num w:numId="12">
    <w:abstractNumId w:val="1943821"/>
  </w:num>
  <w:num w:numId="13">
    <w:abstractNumId w:val="1943822"/>
  </w:num>
  <w:num w:numId="14">
    <w:abstractNumId w:val="1943823"/>
  </w:num>
  <w:num w:numId="15">
    <w:abstractNumId w:val="1943824"/>
  </w:num>
  <w:num w:numId="16">
    <w:abstractNumId w:val="1943825"/>
  </w:num>
  <w:num w:numId="17">
    <w:abstractNumId w:val="1943826"/>
  </w:num>
  <w:num w:numId="18">
    <w:abstractNumId w:val="1943827"/>
  </w:num>
  <w:num w:numId="19">
    <w:abstractNumId w:val="1943828"/>
  </w:num>
  <w:num w:numId="20">
    <w:abstractNumId w:val="1943829"/>
  </w:num>
  <w:num w:numId="21">
    <w:abstractNumId w:val="19438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2025-10-21T12:05:43Z</dcterms:created>
  <dc:creator>Apache POI</dc:creator>
</cp:coreProperties>
</file>