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AD50B"/>
    <w:p w14:paraId="291AA08A">
      <w:pPr>
        <w:rPr>
          <w:sz w:val="18"/>
          <w:szCs w:val="18"/>
        </w:rPr>
      </w:pPr>
      <w:r>
        <w:rPr>
          <w:rFonts w:hint="eastAsia"/>
        </w:rPr>
        <w:t>易点易动资产管理SaaS服务合同</w:t>
      </w:r>
    </w:p>
    <w:p w14:paraId="28B22530"/>
    <w:p w14:paraId="67094800"/>
    <w:p w14:paraId="5A068E48"/>
    <w:tbl>
      <w:tblPr>
        <w:tblStyle w:val="8"/>
        <w:tblW w:w="9639" w:type="dxa"/>
        <w:tblCellSpacing w:w="7" w:type="dxa"/>
        <w:tblInd w:w="0" w:type="dxa"/>
        <w:shd w:val="clear" w:color="auto" w:fill="E1E1E1"/>
        <w:tblLayout w:type="autofit"/>
        <w:tblCellMar>
          <w:top w:w="0" w:type="dxa"/>
          <w:left w:w="0" w:type="dxa"/>
          <w:bottom w:w="0" w:type="dxa"/>
          <w:right w:w="0" w:type="dxa"/>
        </w:tblCellMar>
      </w:tblPr>
      <w:tblGrid>
        <w:gridCol w:w="4820"/>
        <w:gridCol w:w="4819"/>
      </w:tblGrid>
      <w:tr w14:paraId="60728EAA">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4131CC6C">
            <w:pPr>
              <w:rPr>
                <w:rFonts w:ascii="Tahoma" w:hAnsi="Tahoma" w:eastAsia="Times New Roman" w:cs="Tahoma"/>
              </w:rPr>
            </w:pPr>
            <w:r>
              <w:t>甲　　方：</w:t>
            </w:r>
            <w:r>
              <w:rPr>
                <w:rFonts w:hint="eastAsia"/>
              </w:rPr>
              <w:t>四川省安正企业管理集团有限责任公司</w:t>
            </w:r>
          </w:p>
        </w:tc>
        <w:tc>
          <w:tcPr>
            <w:tcW w:w="4798" w:type="dxa"/>
            <w:shd w:val="clear" w:color="auto" w:fill="FFFFFF"/>
            <w:tcMar>
              <w:top w:w="0" w:type="dxa"/>
              <w:left w:w="75" w:type="dxa"/>
              <w:bottom w:w="0" w:type="dxa"/>
              <w:right w:w="75" w:type="dxa"/>
            </w:tcMar>
            <w:vAlign w:val="center"/>
          </w:tcPr>
          <w:p w14:paraId="7D93FF93">
            <w:pPr>
              <w:rPr>
                <w:rFonts w:ascii="Tahoma" w:hAnsi="Tahoma" w:eastAsia="Times New Roman" w:cs="Tahoma"/>
              </w:rPr>
            </w:pPr>
            <w:r>
              <w:t>乙　　方：北京</w:t>
            </w:r>
            <w:r>
              <w:rPr>
                <w:rFonts w:hint="eastAsia"/>
              </w:rPr>
              <w:t>易点易动科技有限公司</w:t>
            </w:r>
          </w:p>
        </w:tc>
      </w:tr>
      <w:tr w14:paraId="0CB79BD3">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3651D41C">
            <w:r>
              <w:rPr>
                <w:rFonts w:hint="eastAsia"/>
              </w:rPr>
              <w:t>统一社会信用代码：</w:t>
            </w:r>
            <w:r>
              <w:t>91510100MAC0YTPB24</w:t>
            </w:r>
          </w:p>
        </w:tc>
        <w:tc>
          <w:tcPr>
            <w:tcW w:w="4798" w:type="dxa"/>
            <w:shd w:val="clear" w:color="auto" w:fill="FFFFFF"/>
            <w:tcMar>
              <w:top w:w="0" w:type="dxa"/>
              <w:left w:w="75" w:type="dxa"/>
              <w:bottom w:w="0" w:type="dxa"/>
              <w:right w:w="75" w:type="dxa"/>
            </w:tcMar>
            <w:vAlign w:val="center"/>
          </w:tcPr>
          <w:p w14:paraId="5547A0A7">
            <w:r>
              <w:rPr>
                <w:rFonts w:hint="eastAsia"/>
              </w:rPr>
              <w:t>统一社会信用代码：</w:t>
            </w:r>
            <w:r>
              <w:t>911101123355963019</w:t>
            </w:r>
          </w:p>
        </w:tc>
      </w:tr>
      <w:tr w14:paraId="17561F3D">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5D81E70B">
            <w:r>
              <w:rPr>
                <w:rFonts w:hint="eastAsia"/>
              </w:rPr>
              <w:t>法定代表人：</w:t>
            </w:r>
            <w:r>
              <w:t xml:space="preserve"> </w:t>
            </w:r>
          </w:p>
        </w:tc>
        <w:tc>
          <w:tcPr>
            <w:tcW w:w="4798" w:type="dxa"/>
            <w:shd w:val="clear" w:color="auto" w:fill="FFFFFF"/>
            <w:tcMar>
              <w:top w:w="0" w:type="dxa"/>
              <w:left w:w="75" w:type="dxa"/>
              <w:bottom w:w="0" w:type="dxa"/>
              <w:right w:w="75" w:type="dxa"/>
            </w:tcMar>
            <w:vAlign w:val="center"/>
          </w:tcPr>
          <w:p w14:paraId="5D479926">
            <w:r>
              <w:rPr>
                <w:rFonts w:hint="eastAsia"/>
              </w:rPr>
              <w:t>法定代表人：王丹</w:t>
            </w:r>
          </w:p>
        </w:tc>
      </w:tr>
      <w:tr w14:paraId="65F3E8CE">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35F0CC61">
            <w:pPr>
              <w:rPr>
                <w:rFonts w:ascii="Tahoma" w:hAnsi="Tahoma" w:eastAsia="Times New Roman" w:cs="Tahoma"/>
              </w:rPr>
            </w:pPr>
            <w:r>
              <w:t>联</w:t>
            </w:r>
            <w:r>
              <w:rPr>
                <w:rFonts w:ascii="Tahoma" w:hAnsi="Tahoma" w:eastAsia="Times New Roman" w:cs="Tahoma"/>
              </w:rPr>
              <w:t xml:space="preserve"> </w:t>
            </w:r>
            <w:r>
              <w:t>系</w:t>
            </w:r>
            <w:r>
              <w:rPr>
                <w:rFonts w:ascii="Tahoma" w:hAnsi="Tahoma" w:eastAsia="Times New Roman" w:cs="Tahoma"/>
              </w:rPr>
              <w:t xml:space="preserve"> </w:t>
            </w:r>
            <w:r>
              <w:t>人：</w:t>
            </w:r>
            <w:r>
              <w:rPr>
                <w:rFonts w:ascii="Tahoma" w:hAnsi="Tahoma" w:eastAsia="Times New Roman" w:cs="Tahoma"/>
              </w:rPr>
              <w:t xml:space="preserve"> </w:t>
            </w:r>
            <w:r>
              <w:t>贺思怡</w:t>
            </w:r>
          </w:p>
        </w:tc>
        <w:tc>
          <w:tcPr>
            <w:tcW w:w="4798" w:type="dxa"/>
            <w:shd w:val="clear" w:color="auto" w:fill="FFFFFF"/>
            <w:tcMar>
              <w:top w:w="0" w:type="dxa"/>
              <w:left w:w="75" w:type="dxa"/>
              <w:bottom w:w="0" w:type="dxa"/>
              <w:right w:w="75" w:type="dxa"/>
            </w:tcMar>
            <w:vAlign w:val="center"/>
          </w:tcPr>
          <w:p w14:paraId="3B23758A">
            <w:pPr>
              <w:rPr>
                <w:rFonts w:ascii="Tahoma" w:hAnsi="Tahoma" w:cs="Tahoma"/>
              </w:rPr>
            </w:pPr>
            <w:r>
              <w:t>联</w:t>
            </w:r>
            <w:r>
              <w:rPr>
                <w:rFonts w:ascii="Tahoma" w:hAnsi="Tahoma" w:eastAsia="Times New Roman" w:cs="Tahoma"/>
              </w:rPr>
              <w:t xml:space="preserve"> </w:t>
            </w:r>
            <w:r>
              <w:t>系</w:t>
            </w:r>
            <w:r>
              <w:rPr>
                <w:rFonts w:ascii="Tahoma" w:hAnsi="Tahoma" w:eastAsia="Times New Roman" w:cs="Tahoma"/>
              </w:rPr>
              <w:t xml:space="preserve"> </w:t>
            </w:r>
            <w:r>
              <w:t>人：</w:t>
            </w:r>
            <w:r>
              <w:rPr>
                <w:rFonts w:hint="eastAsia"/>
              </w:rPr>
              <w:t>檀素娟</w:t>
            </w:r>
          </w:p>
        </w:tc>
      </w:tr>
      <w:tr w14:paraId="5B6488E9">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2568D3D0">
            <w:pPr>
              <w:rPr>
                <w:rFonts w:ascii="Tahoma" w:hAnsi="Tahoma" w:eastAsia="Times New Roman" w:cs="Tahoma"/>
              </w:rPr>
            </w:pPr>
            <w:r>
              <w:t>电　　话：</w:t>
            </w:r>
            <w:r>
              <w:rPr>
                <w:rFonts w:hint="eastAsia"/>
              </w:rPr>
              <w:t>1</w:t>
            </w:r>
            <w:r>
              <w:t>8280030912</w:t>
            </w:r>
          </w:p>
        </w:tc>
        <w:tc>
          <w:tcPr>
            <w:tcW w:w="4798" w:type="dxa"/>
            <w:shd w:val="clear" w:color="auto" w:fill="FFFFFF"/>
            <w:tcMar>
              <w:top w:w="0" w:type="dxa"/>
              <w:left w:w="75" w:type="dxa"/>
              <w:bottom w:w="0" w:type="dxa"/>
              <w:right w:w="75" w:type="dxa"/>
            </w:tcMar>
            <w:vAlign w:val="center"/>
          </w:tcPr>
          <w:p w14:paraId="0FBD8923">
            <w:pPr>
              <w:rPr>
                <w:rFonts w:ascii="Tahoma" w:hAnsi="Tahoma" w:cs="Tahoma"/>
              </w:rPr>
            </w:pPr>
            <w:r>
              <w:t>电　　话：13699275496</w:t>
            </w:r>
          </w:p>
        </w:tc>
      </w:tr>
      <w:tr w14:paraId="4FB9DA37">
        <w:tblPrEx>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2BEB7631">
            <w:pPr>
              <w:rPr>
                <w:rFonts w:ascii="Tahoma" w:hAnsi="Tahoma" w:eastAsia="Times New Roman" w:cs="Tahoma"/>
              </w:rPr>
            </w:pPr>
            <w:r>
              <w:t>电　　邮：</w:t>
            </w:r>
          </w:p>
        </w:tc>
        <w:tc>
          <w:tcPr>
            <w:tcW w:w="4798" w:type="dxa"/>
            <w:shd w:val="clear" w:color="auto" w:fill="FFFFFF"/>
            <w:tcMar>
              <w:top w:w="0" w:type="dxa"/>
              <w:left w:w="75" w:type="dxa"/>
              <w:bottom w:w="0" w:type="dxa"/>
              <w:right w:w="75" w:type="dxa"/>
            </w:tcMar>
            <w:vAlign w:val="center"/>
          </w:tcPr>
          <w:p w14:paraId="6B460500">
            <w:pPr>
              <w:rPr>
                <w:rFonts w:ascii="Tahoma" w:hAnsi="Tahoma" w:eastAsia="Times New Roman" w:cs="Tahoma"/>
              </w:rPr>
            </w:pPr>
            <w:r>
              <w:t>电　　邮：</w:t>
            </w:r>
            <w:r>
              <w:rPr>
                <w:rFonts w:hint="eastAsia"/>
              </w:rPr>
              <w:t xml:space="preserve">tansj@yideamobile.com </w:t>
            </w:r>
          </w:p>
        </w:tc>
      </w:tr>
      <w:tr w14:paraId="693DB5BF">
        <w:tblPrEx>
          <w:shd w:val="clear" w:color="auto" w:fill="E1E1E1"/>
          <w:tblCellMar>
            <w:top w:w="0" w:type="dxa"/>
            <w:left w:w="0" w:type="dxa"/>
            <w:bottom w:w="0" w:type="dxa"/>
            <w:right w:w="0" w:type="dxa"/>
          </w:tblCellMar>
        </w:tblPrEx>
        <w:trPr>
          <w:trHeight w:val="450" w:hRule="atLeast"/>
          <w:tblCellSpacing w:w="7" w:type="dxa"/>
        </w:trPr>
        <w:tc>
          <w:tcPr>
            <w:tcW w:w="4799" w:type="dxa"/>
            <w:shd w:val="clear" w:color="auto" w:fill="FFFFFF"/>
            <w:tcMar>
              <w:top w:w="0" w:type="dxa"/>
              <w:left w:w="75" w:type="dxa"/>
              <w:bottom w:w="0" w:type="dxa"/>
              <w:right w:w="75" w:type="dxa"/>
            </w:tcMar>
            <w:vAlign w:val="center"/>
          </w:tcPr>
          <w:p w14:paraId="47C09B6C">
            <w:pPr>
              <w:rPr>
                <w:rFonts w:ascii="Tahoma" w:hAnsi="Tahoma" w:eastAsia="Times New Roman" w:cs="Tahoma"/>
              </w:rPr>
            </w:pPr>
            <w:r>
              <w:t>地　　址：</w:t>
            </w:r>
            <w:r>
              <w:rPr>
                <w:rFonts w:hint="eastAsia"/>
              </w:rPr>
              <w:t>中国（四川）自由贸易试验区成都高新区天府大道北段 28 号 1 幢 1 单元 25 层 2502 号</w:t>
            </w:r>
          </w:p>
        </w:tc>
        <w:tc>
          <w:tcPr>
            <w:tcW w:w="4798" w:type="dxa"/>
            <w:shd w:val="clear" w:color="auto" w:fill="FFFFFF"/>
            <w:tcMar>
              <w:top w:w="0" w:type="dxa"/>
              <w:left w:w="75" w:type="dxa"/>
              <w:bottom w:w="0" w:type="dxa"/>
              <w:right w:w="75" w:type="dxa"/>
            </w:tcMar>
            <w:vAlign w:val="center"/>
          </w:tcPr>
          <w:p w14:paraId="6A265CED">
            <w:pPr>
              <w:rPr>
                <w:rFonts w:ascii="Tahoma" w:hAnsi="Tahoma" w:eastAsia="Times New Roman" w:cs="Tahoma"/>
              </w:rPr>
            </w:pPr>
            <w:r>
              <w:t>地　　址：</w:t>
            </w:r>
            <w:r>
              <w:rPr>
                <w:rFonts w:hint="eastAsia"/>
              </w:rPr>
              <w:t>北京经济技术开发区林肯公园B区10号楼305</w:t>
            </w:r>
          </w:p>
        </w:tc>
      </w:tr>
    </w:tbl>
    <w:p w14:paraId="4D646937">
      <w:pPr>
        <w:rPr>
          <w:rFonts w:ascii="Tahoma" w:hAnsi="Tahoma" w:eastAsia="Times New Roman" w:cs="Tahoma"/>
        </w:rPr>
      </w:pPr>
      <w:r>
        <w:rPr>
          <w:rFonts w:hint="eastAsia"/>
        </w:rPr>
        <w:t>　　甲乙双方本着平等互利、诚实守信的原则，依据《中华人民共和国民法典》和相关法律、法规的规定，就乙方为甲方提供易点易动资产管理SaaS服务 事宜，于【2025】年【10</w:t>
      </w:r>
      <w:r>
        <w:t>】</w:t>
      </w:r>
      <w:r>
        <w:rPr>
          <w:rFonts w:hint="eastAsia"/>
        </w:rPr>
        <w:t>月【20】日在【</w:t>
      </w:r>
      <w:r>
        <w:rPr>
          <w:rFonts w:ascii="Tahoma" w:hAnsi="Tahoma" w:eastAsia="Times New Roman" w:cs="Tahoma"/>
        </w:rPr>
        <w:t xml:space="preserve"> </w:t>
      </w:r>
      <w:r>
        <w:rPr>
          <w:rFonts w:hint="eastAsia"/>
        </w:rPr>
        <w:t>北京</w:t>
      </w:r>
      <w:r>
        <w:rPr>
          <w:rFonts w:ascii="Tahoma" w:hAnsi="Tahoma" w:eastAsia="Times New Roman" w:cs="Tahoma"/>
        </w:rPr>
        <w:t xml:space="preserve"> </w:t>
      </w:r>
      <w:r>
        <w:rPr>
          <w:rFonts w:hint="eastAsia"/>
        </w:rPr>
        <w:t>】达成如下合同以共同遵守</w:t>
      </w:r>
      <w:r>
        <w:t>。</w:t>
      </w:r>
    </w:p>
    <w:p w14:paraId="7420A598">
      <w:pPr>
        <w:rPr>
          <w:rFonts w:ascii="Tahoma" w:hAnsi="Tahoma" w:eastAsia="Times New Roman" w:cs="Tahoma"/>
        </w:rPr>
      </w:pPr>
      <w:r>
        <w:rPr>
          <w:rFonts w:ascii="Tahoma" w:hAnsi="Tahoma" w:eastAsia="Times New Roman" w:cs="Tahoma"/>
          <w:b/>
          <w:bCs/>
        </w:rPr>
        <w:t>1.</w:t>
      </w:r>
      <w:r>
        <w:rPr>
          <w:rFonts w:hint="eastAsia"/>
          <w:b/>
          <w:bCs/>
        </w:rPr>
        <w:t>定义</w:t>
      </w:r>
      <w:r>
        <w:rPr>
          <w:rFonts w:ascii="Tahoma" w:hAnsi="Tahoma" w:eastAsia="Times New Roman" w:cs="Tahoma"/>
        </w:rPr>
        <w:br w:type="textWrapping"/>
      </w:r>
      <w:r>
        <w:rPr>
          <w:rFonts w:hint="eastAsia"/>
        </w:rPr>
        <w:t>　　甲乙双方都了解，易点易动资产管理系统是以实物管理为基础，以条形码技术应用为特点，以方便、快速、准确、功能全面为优势的管理型软件。易点易动资产管理SaaS服务是对甲方企所有业固定资产及低值易耗品以及生产经营性设备进行的全程跟踪管理、盘点管理、数据分析和移动APP资产管理功，且不局限于本合同未明确排除的其他类似资产能。</w:t>
      </w:r>
    </w:p>
    <w:p w14:paraId="407D7429">
      <w:pPr>
        <w:rPr>
          <w:rFonts w:ascii="Tahoma" w:hAnsi="Tahoma" w:cs="Tahoma"/>
        </w:rPr>
      </w:pPr>
      <w:r>
        <w:rPr>
          <w:rFonts w:ascii="Tahoma" w:hAnsi="Tahoma" w:eastAsia="Times New Roman" w:cs="Tahoma"/>
          <w:b/>
          <w:bCs/>
        </w:rPr>
        <w:t>2.</w:t>
      </w:r>
      <w:r>
        <w:rPr>
          <w:rFonts w:hint="eastAsia"/>
          <w:b/>
          <w:bCs/>
        </w:rPr>
        <w:t>服务内容和标准</w:t>
      </w:r>
      <w:r>
        <w:rPr>
          <w:rFonts w:ascii="Tahoma" w:hAnsi="Tahoma" w:eastAsia="Times New Roman" w:cs="Tahoma"/>
        </w:rPr>
        <w:br w:type="textWrapping"/>
      </w:r>
      <w:r>
        <w:rPr>
          <w:rFonts w:hint="eastAsia" w:ascii="Tahoma" w:hAnsi="Tahoma" w:cs="Tahoma"/>
        </w:rPr>
        <w:t xml:space="preserve">      </w:t>
      </w:r>
      <w:r>
        <w:rPr>
          <w:rFonts w:hint="eastAsia"/>
        </w:rPr>
        <w:t>1.）服务内容：</w:t>
      </w:r>
      <w:r>
        <w:rPr>
          <w:rFonts w:hint="eastAsia"/>
        </w:rPr>
        <w:br w:type="textWrapping"/>
      </w:r>
      <w:r>
        <w:rPr>
          <w:rFonts w:hint="eastAsia" w:ascii="Tahoma" w:hAnsi="Tahoma" w:cs="Tahoma"/>
        </w:rPr>
        <w:t xml:space="preserve">      </w:t>
      </w:r>
      <w:r>
        <w:rPr>
          <w:rFonts w:ascii="Tahoma" w:hAnsi="Tahoma" w:eastAsia="Times New Roman" w:cs="Tahoma"/>
        </w:rPr>
        <w:t>a)</w:t>
      </w:r>
      <w:r>
        <w:rPr>
          <w:rFonts w:hint="eastAsia" w:ascii="Tahoma" w:hAnsi="Tahoma" w:cs="Tahoma"/>
        </w:rPr>
        <w:t xml:space="preserve"> </w:t>
      </w:r>
      <w:r>
        <w:rPr>
          <w:rFonts w:hint="eastAsia"/>
        </w:rPr>
        <w:t>甲方在乙方官方网站</w:t>
      </w:r>
      <w:r>
        <w:t>(</w:t>
      </w:r>
      <w:r>
        <w:rPr>
          <w:rFonts w:hint="eastAsia"/>
        </w:rPr>
        <w:t>www.yideamobile.com)注册用户，并依据企业自身系统模块情况选择购买不同价位的服务。</w:t>
      </w:r>
      <w:r>
        <w:rPr>
          <w:rFonts w:ascii="Tahoma" w:hAnsi="Tahoma" w:eastAsia="Times New Roman" w:cs="Tahoma"/>
        </w:rPr>
        <w:br w:type="textWrapping"/>
      </w:r>
      <w:r>
        <w:rPr>
          <w:rFonts w:hint="eastAsia" w:ascii="Tahoma" w:hAnsi="Tahoma" w:cs="Tahoma"/>
        </w:rPr>
        <w:t xml:space="preserve">      b) 甲方在</w:t>
      </w:r>
      <w:r>
        <w:rPr>
          <w:rFonts w:hint="eastAsia"/>
        </w:rPr>
        <w:t>乙方官方网站</w:t>
      </w:r>
      <w:r>
        <w:t>(</w:t>
      </w:r>
      <w:r>
        <w:rPr>
          <w:rFonts w:hint="eastAsia"/>
        </w:rPr>
        <w:t>www.yideamobile.com</w:t>
      </w:r>
      <w:r>
        <w:t>)</w:t>
      </w:r>
      <w:r>
        <w:rPr>
          <w:rFonts w:hint="eastAsia"/>
        </w:rPr>
        <w:t>对选购的服务进行首次付费，并在每年按约定时间及时进行续费</w:t>
      </w:r>
      <w:r>
        <w:t xml:space="preserve"> (</w:t>
      </w:r>
      <w:r>
        <w:rPr>
          <w:rFonts w:hint="eastAsia"/>
        </w:rPr>
        <w:t>选择免费服务的用户除外</w:t>
      </w:r>
      <w:r>
        <w:t>)</w:t>
      </w:r>
      <w:r>
        <w:rPr>
          <w:rFonts w:hint="eastAsia"/>
        </w:rPr>
        <w:t xml:space="preserve"> 。</w:t>
      </w:r>
    </w:p>
    <w:p w14:paraId="2FA2B4E5">
      <w:r>
        <w:rPr>
          <w:rFonts w:hint="eastAsia" w:ascii="Tahoma" w:hAnsi="Tahoma" w:cs="Tahoma"/>
        </w:rPr>
        <w:t xml:space="preserve">c) </w:t>
      </w:r>
      <w:r>
        <w:rPr>
          <w:rFonts w:hint="eastAsia"/>
        </w:rPr>
        <w:t>乙方会根据甲方所选择购买的系统模块，提供相应的资产管理系统SaaS平台服务。</w:t>
      </w:r>
    </w:p>
    <w:p w14:paraId="01807A28">
      <w:r>
        <w:rPr>
          <w:rFonts w:hint="eastAsia" w:ascii="Tahoma" w:hAnsi="Tahoma" w:cs="Tahoma"/>
        </w:rPr>
        <w:t xml:space="preserve">d) </w:t>
      </w:r>
      <w:r>
        <w:rPr>
          <w:rFonts w:hint="eastAsia"/>
        </w:rPr>
        <w:t>乙方会为甲方提供系统的版本升级（至少每季度一次），数据备份（每日自动备份并提供异地存储），安全保证（采用防火墙、入侵检测等措施）等维护服务，以及对服务使用过程中的咨询和答疑（咨询响应时间不超过2小时，问题解决时限不超过24小时）。</w:t>
      </w:r>
    </w:p>
    <w:p w14:paraId="78B91B66">
      <w:r>
        <w:rPr>
          <w:rFonts w:hint="eastAsia"/>
        </w:rPr>
        <w:t>2.）服务标准：若系统可用性未达到99.9%，乙方应按未达标准的时长比例退还相应费用。</w:t>
      </w:r>
    </w:p>
    <w:p w14:paraId="57112890">
      <w:pPr>
        <w:pStyle w:val="19"/>
        <w:numPr>
          <w:ilvl w:val="0"/>
          <w:numId w:val="1"/>
        </w:numPr>
        <w:ind w:firstLineChars="0"/>
      </w:pPr>
      <w:r>
        <w:rPr>
          <w:rFonts w:hint="eastAsia"/>
        </w:rPr>
        <w:t>系统可用性目标</w:t>
      </w:r>
      <w:r>
        <w:t>:</w:t>
      </w:r>
    </w:p>
    <w:p w14:paraId="70F352C9">
      <w:r>
        <w:rPr>
          <w:rFonts w:hint="eastAsia"/>
        </w:rPr>
        <w:t xml:space="preserve">（年系统预定运行时间 </w:t>
      </w:r>
      <w:r>
        <w:t xml:space="preserve">- </w:t>
      </w:r>
      <w:r>
        <w:rPr>
          <w:rFonts w:hint="eastAsia"/>
        </w:rPr>
        <w:t>年系统不可用时间）</w:t>
      </w:r>
      <w:r>
        <w:t>/  </w:t>
      </w:r>
      <w:r>
        <w:rPr>
          <w:rFonts w:hint="eastAsia"/>
        </w:rPr>
        <w:t>年系统预定运行时间</w:t>
      </w:r>
    </w:p>
    <w:p w14:paraId="0D5579D8">
      <w:r>
        <w:t>(365*24-8) / (365*24) = 99.9</w:t>
      </w:r>
      <w:r>
        <w:rPr>
          <w:rFonts w:hint="eastAsia"/>
        </w:rPr>
        <w:t xml:space="preserve">% </w:t>
      </w:r>
    </w:p>
    <w:p w14:paraId="052D54D8">
      <w:pPr>
        <w:pStyle w:val="19"/>
        <w:numPr>
          <w:ilvl w:val="0"/>
          <w:numId w:val="1"/>
        </w:numPr>
        <w:ind w:firstLineChars="0"/>
      </w:pPr>
      <w:r>
        <w:rPr>
          <w:rFonts w:hint="eastAsia"/>
        </w:rPr>
        <w:t>系统停机时间：</w:t>
      </w:r>
    </w:p>
    <w:p w14:paraId="2E9873A9">
      <w:r>
        <w:rPr>
          <w:rFonts w:hint="eastAsia"/>
        </w:rPr>
        <w:t>年系统停机维护时间8小时</w:t>
      </w:r>
    </w:p>
    <w:p w14:paraId="69A2F73D">
      <w:pPr>
        <w:pStyle w:val="19"/>
        <w:numPr>
          <w:ilvl w:val="0"/>
          <w:numId w:val="1"/>
        </w:numPr>
        <w:ind w:firstLineChars="0"/>
      </w:pPr>
      <w:r>
        <w:rPr>
          <w:rFonts w:hint="eastAsia"/>
        </w:rPr>
        <w:t>基本服务级别：</w:t>
      </w:r>
    </w:p>
    <w:p w14:paraId="2BA1907C">
      <w:r>
        <w:t>7*24 (7天</w:t>
      </w:r>
      <w:r>
        <w:rPr>
          <w:rFonts w:hint="eastAsia"/>
        </w:rPr>
        <w:t>，2</w:t>
      </w:r>
      <w:r>
        <w:t>4小时)</w:t>
      </w:r>
    </w:p>
    <w:p w14:paraId="7FAEFD7E">
      <w:pPr>
        <w:pStyle w:val="19"/>
        <w:numPr>
          <w:ilvl w:val="0"/>
          <w:numId w:val="1"/>
        </w:numPr>
        <w:ind w:firstLineChars="0"/>
      </w:pPr>
      <w:r>
        <w:rPr>
          <w:rFonts w:hint="eastAsia"/>
        </w:rPr>
        <w:t>工作时间（白天）故障及时响应时间</w:t>
      </w:r>
    </w:p>
    <w:p w14:paraId="01DF1CAB">
      <w:r>
        <w:rPr>
          <w:rFonts w:hint="eastAsia"/>
        </w:rPr>
        <w:t>小于等于1小时</w:t>
      </w:r>
    </w:p>
    <w:p w14:paraId="71E5B855">
      <w:pPr>
        <w:pStyle w:val="19"/>
        <w:numPr>
          <w:ilvl w:val="0"/>
          <w:numId w:val="1"/>
        </w:numPr>
        <w:ind w:firstLineChars="0"/>
      </w:pPr>
      <w:r>
        <w:rPr>
          <w:rFonts w:hint="eastAsia"/>
        </w:rPr>
        <w:t>工作时间（晚间）故障及时响应时间</w:t>
      </w:r>
    </w:p>
    <w:p w14:paraId="753FC4E9">
      <w:r>
        <w:t xml:space="preserve">7*24 </w:t>
      </w:r>
      <w:r>
        <w:rPr>
          <w:rFonts w:hint="eastAsia"/>
        </w:rPr>
        <w:t>(7天，24小时)</w:t>
      </w:r>
      <w:r>
        <w:t xml:space="preserve"> </w:t>
      </w:r>
    </w:p>
    <w:p w14:paraId="56183CEB">
      <w:r>
        <w:t>服务电话</w:t>
      </w:r>
      <w:r>
        <w:rPr>
          <w:rFonts w:hint="eastAsia"/>
        </w:rPr>
        <w:t>：</w:t>
      </w:r>
      <w:r>
        <w:t>400-960-1596</w:t>
      </w:r>
    </w:p>
    <w:p w14:paraId="1F905333">
      <w:pPr>
        <w:pStyle w:val="19"/>
        <w:numPr>
          <w:ilvl w:val="0"/>
          <w:numId w:val="1"/>
        </w:numPr>
        <w:ind w:firstLineChars="0"/>
      </w:pPr>
      <w:r>
        <w:rPr>
          <w:rFonts w:hint="eastAsia"/>
        </w:rPr>
        <w:t>周末或节假日故障及时响应时间</w:t>
      </w:r>
    </w:p>
    <w:p w14:paraId="4C50452D">
      <w:pPr>
        <w:rPr>
          <w:b/>
        </w:rPr>
      </w:pPr>
      <w:r>
        <w:rPr>
          <w:rFonts w:hint="eastAsia"/>
        </w:rPr>
        <w:t>小于等于8小时</w:t>
      </w:r>
    </w:p>
    <w:p w14:paraId="22C36920">
      <w:pPr>
        <w:pStyle w:val="19"/>
        <w:numPr>
          <w:ilvl w:val="0"/>
          <w:numId w:val="1"/>
        </w:numPr>
        <w:ind w:firstLineChars="0"/>
      </w:pPr>
      <w:r>
        <w:rPr>
          <w:rFonts w:hint="eastAsia"/>
        </w:rPr>
        <w:t>紧急故障响应时间、解决时间</w:t>
      </w:r>
    </w:p>
    <w:p w14:paraId="41709FEE">
      <w:pPr>
        <w:rPr>
          <w:b/>
        </w:rPr>
      </w:pPr>
      <w:r>
        <w:rPr>
          <w:rFonts w:hint="eastAsia"/>
        </w:rPr>
        <w:t>小于等于8小时</w:t>
      </w:r>
    </w:p>
    <w:p w14:paraId="6A520F0C">
      <w:pPr>
        <w:pStyle w:val="19"/>
        <w:numPr>
          <w:ilvl w:val="0"/>
          <w:numId w:val="1"/>
        </w:numPr>
        <w:ind w:firstLineChars="0"/>
      </w:pPr>
      <w:r>
        <w:rPr>
          <w:rFonts w:hint="eastAsia"/>
        </w:rPr>
        <w:t>严重故障响应时间、解决时间</w:t>
      </w:r>
    </w:p>
    <w:p w14:paraId="470F1767">
      <w:pPr>
        <w:rPr>
          <w:b/>
        </w:rPr>
      </w:pPr>
      <w:r>
        <w:rPr>
          <w:rFonts w:hint="eastAsia"/>
        </w:rPr>
        <w:t>小于等于8小时</w:t>
      </w:r>
    </w:p>
    <w:p w14:paraId="1C6EE7CB">
      <w:pPr>
        <w:pStyle w:val="19"/>
        <w:numPr>
          <w:ilvl w:val="0"/>
          <w:numId w:val="1"/>
        </w:numPr>
        <w:ind w:firstLineChars="0"/>
      </w:pPr>
      <w:r>
        <w:rPr>
          <w:rFonts w:hint="eastAsia"/>
        </w:rPr>
        <w:t>一般故障响应时间、解决时间</w:t>
      </w:r>
    </w:p>
    <w:p w14:paraId="4348F652">
      <w:pPr>
        <w:rPr>
          <w:b/>
        </w:rPr>
      </w:pPr>
      <w:r>
        <w:rPr>
          <w:rFonts w:hint="eastAsia"/>
        </w:rPr>
        <w:t>小于等于</w:t>
      </w:r>
      <w:r>
        <w:t>2</w:t>
      </w:r>
      <w:r>
        <w:rPr>
          <w:rFonts w:hint="eastAsia"/>
        </w:rPr>
        <w:t>个工作日</w:t>
      </w:r>
    </w:p>
    <w:p w14:paraId="422EE564">
      <w:pPr>
        <w:pStyle w:val="19"/>
        <w:numPr>
          <w:ilvl w:val="0"/>
          <w:numId w:val="1"/>
        </w:numPr>
        <w:ind w:firstLineChars="0"/>
      </w:pPr>
      <w:r>
        <w:rPr>
          <w:rFonts w:hint="eastAsia"/>
        </w:rPr>
        <w:t>普通故障响应时间、解决时间</w:t>
      </w:r>
    </w:p>
    <w:p w14:paraId="72A3A58E">
      <w:pPr>
        <w:rPr>
          <w:b/>
        </w:rPr>
      </w:pPr>
      <w:r>
        <w:rPr>
          <w:rFonts w:hint="eastAsia"/>
        </w:rPr>
        <w:t>小于等于</w:t>
      </w:r>
      <w:r>
        <w:t>5</w:t>
      </w:r>
      <w:r>
        <w:rPr>
          <w:rFonts w:hint="eastAsia"/>
        </w:rPr>
        <w:t>个工作日</w:t>
      </w:r>
    </w:p>
    <w:p w14:paraId="154075AE">
      <w:pPr>
        <w:pStyle w:val="19"/>
        <w:numPr>
          <w:ilvl w:val="0"/>
          <w:numId w:val="1"/>
        </w:numPr>
        <w:ind w:firstLineChars="0"/>
      </w:pPr>
      <w:r>
        <w:rPr>
          <w:rFonts w:hint="eastAsia"/>
        </w:rPr>
        <w:t>服务支持方式：</w:t>
      </w:r>
    </w:p>
    <w:p w14:paraId="29F3A7D2">
      <w:r>
        <w:rPr>
          <w:rFonts w:hint="eastAsia"/>
        </w:rPr>
        <w:t>远程、电话支持</w:t>
      </w:r>
    </w:p>
    <w:p w14:paraId="310877A1">
      <w:pPr>
        <w:rPr>
          <w:rFonts w:ascii="Tahoma" w:hAnsi="Tahoma" w:cs="Tahoma"/>
        </w:rPr>
      </w:pPr>
      <w:r>
        <w:rPr>
          <w:rFonts w:ascii="Tahoma" w:hAnsi="Tahoma" w:eastAsia="Times New Roman" w:cs="Tahoma"/>
          <w:b/>
          <w:bCs/>
        </w:rPr>
        <w:t>3.</w:t>
      </w:r>
      <w:r>
        <w:rPr>
          <w:rFonts w:hint="eastAsia"/>
          <w:b/>
          <w:bCs/>
        </w:rPr>
        <w:t>合同期限</w:t>
      </w:r>
      <w:r>
        <w:rPr>
          <w:rFonts w:ascii="Tahoma" w:hAnsi="Tahoma" w:eastAsia="Times New Roman" w:cs="Tahoma"/>
        </w:rPr>
        <w:br w:type="textWrapping"/>
      </w:r>
      <w:r>
        <w:rPr>
          <w:rFonts w:hint="eastAsia"/>
        </w:rPr>
        <w:t>　　本合同有效期限为【1】年，自【2025】年【10】月【20】日起至【2026】年【10】月【19】日止</w:t>
      </w:r>
      <w:r>
        <w:t>。</w:t>
      </w:r>
      <w:r>
        <w:rPr>
          <w:rFonts w:hint="eastAsia"/>
        </w:rPr>
        <w:t>服务时间自甲方在乙方网站成功注册账户开通服务开始，一年。合同有效期截止日早于服务期满日的，合同有效期延长至服务期满日。</w:t>
      </w:r>
    </w:p>
    <w:p w14:paraId="70D4467D">
      <w:pPr>
        <w:rPr>
          <w:rFonts w:ascii="Tahoma" w:hAnsi="Tahoma" w:cs="Tahoma"/>
        </w:rPr>
      </w:pPr>
      <w:r>
        <w:rPr>
          <w:rFonts w:ascii="Tahoma" w:hAnsi="Tahoma" w:eastAsia="Times New Roman" w:cs="Tahoma"/>
          <w:b/>
          <w:bCs/>
        </w:rPr>
        <w:t>4.</w:t>
      </w:r>
      <w:r>
        <w:rPr>
          <w:rFonts w:hint="eastAsia"/>
          <w:b/>
          <w:bCs/>
        </w:rPr>
        <w:t>服务费用</w:t>
      </w:r>
      <w:r>
        <w:rPr>
          <w:rFonts w:ascii="Tahoma" w:hAnsi="Tahoma" w:eastAsia="Times New Roman" w:cs="Tahoma"/>
        </w:rPr>
        <w:br w:type="textWrapping"/>
      </w:r>
      <w:r>
        <w:rPr>
          <w:rFonts w:hint="eastAsia"/>
        </w:rPr>
        <w:t>　　甲方在乙方网站成功注册账户后，服务正式开通，甲方默认选择的是免费服务，如果免费服务提供的系统模块不能满足甲方业务需要，甲方可以在系统中进行升级并且按照附件一所约定的标准和方式向乙方支付相关服务费用，</w:t>
      </w:r>
      <w:r>
        <w:rPr>
          <w:rFonts w:hint="eastAsia"/>
          <w:color w:val="FF0000"/>
        </w:rPr>
        <w:t>本次合同总金额为：人民币陆仟叁佰玖拾玖元整（￥【6,399）元】，甲方需在合同签订后5个工作日内支付</w:t>
      </w:r>
      <w:r>
        <w:rPr>
          <w:rFonts w:hint="eastAsia"/>
        </w:rPr>
        <w:t>。</w:t>
      </w:r>
      <w:r>
        <w:rPr>
          <w:rFonts w:ascii="Tahoma" w:hAnsi="Tahoma" w:eastAsia="Times New Roman" w:cs="Tahoma"/>
        </w:rPr>
        <w:br w:type="textWrapping"/>
      </w:r>
      <w:r>
        <w:rPr>
          <w:rFonts w:hint="eastAsia"/>
        </w:rPr>
        <w:t>　　合同有效期内，如因所需</w:t>
      </w:r>
      <w:r>
        <w:t>服务项目增加</w:t>
      </w:r>
      <w:r>
        <w:rPr>
          <w:rFonts w:hint="eastAsia"/>
        </w:rPr>
        <w:t>或变更</w:t>
      </w:r>
      <w:r>
        <w:t>支付方式，</w:t>
      </w:r>
      <w:r>
        <w:rPr>
          <w:rFonts w:hint="eastAsia"/>
        </w:rPr>
        <w:t>甲乙双方协商</w:t>
      </w:r>
      <w:r>
        <w:t>一致后</w:t>
      </w:r>
      <w:r>
        <w:rPr>
          <w:rFonts w:hint="eastAsia"/>
        </w:rPr>
        <w:t>可调整附件一中所列的费用标准或支付方式，并应通过签署</w:t>
      </w:r>
      <w:r>
        <w:t>合同</w:t>
      </w:r>
      <w:r>
        <w:rPr>
          <w:rFonts w:hint="eastAsia"/>
        </w:rPr>
        <w:t>变更</w:t>
      </w:r>
      <w:r>
        <w:t>确认书的方式</w:t>
      </w:r>
      <w:r>
        <w:rPr>
          <w:rFonts w:hint="eastAsia"/>
        </w:rPr>
        <w:t>对</w:t>
      </w:r>
      <w:r>
        <w:t>附件一</w:t>
      </w:r>
      <w:r>
        <w:rPr>
          <w:rFonts w:hint="eastAsia"/>
        </w:rPr>
        <w:t>进行变更确认。双方签署的变更</w:t>
      </w:r>
      <w:r>
        <w:t>确认书将</w:t>
      </w:r>
      <w:r>
        <w:rPr>
          <w:rFonts w:hint="eastAsia"/>
        </w:rPr>
        <w:t>作为本合同的必要组成部分，自签署之日起生效</w:t>
      </w:r>
      <w:r>
        <w:t>。</w:t>
      </w:r>
    </w:p>
    <w:p w14:paraId="6967E1B5">
      <w:r>
        <w:rPr>
          <w:rFonts w:hint="eastAsia" w:ascii="Tahoma" w:hAnsi="Tahoma" w:eastAsia="Times New Roman" w:cs="Tahoma"/>
          <w:b/>
          <w:bCs/>
        </w:rPr>
        <w:t xml:space="preserve">5. </w:t>
      </w:r>
      <w:r>
        <w:rPr>
          <w:rFonts w:hint="eastAsia" w:ascii="Microsoft YaHei UI" w:hAnsi="Microsoft YaHei UI" w:eastAsia="Microsoft YaHei UI" w:cs="Microsoft YaHei UI"/>
          <w:b/>
          <w:bCs/>
        </w:rPr>
        <w:t>系统续费</w:t>
      </w:r>
      <w:r>
        <w:rPr>
          <w:rFonts w:hint="eastAsia"/>
          <w:b/>
          <w:bCs/>
        </w:rPr>
        <w:br w:type="textWrapping"/>
      </w:r>
      <w:bookmarkStart w:id="0" w:name="_Hlk186460082"/>
      <w:r>
        <w:t>a）</w:t>
      </w:r>
      <w:r>
        <w:rPr>
          <w:rFonts w:hint="eastAsia"/>
        </w:rPr>
        <w:t>本合同到期后，甲乙双方需要根据系统使用情况协商另行签署新合同。</w:t>
      </w:r>
      <w:r>
        <w:rPr>
          <w:rFonts w:hint="eastAsia"/>
        </w:rPr>
        <w:br w:type="textWrapping"/>
      </w:r>
      <w:r>
        <w:t>b</w:t>
      </w:r>
      <w:r>
        <w:rPr>
          <w:rFonts w:hint="eastAsia"/>
        </w:rPr>
        <w:t>）乙方将在合同到期的</w:t>
      </w:r>
      <w:r>
        <w:t>15</w:t>
      </w:r>
      <w:r>
        <w:rPr>
          <w:rFonts w:hint="eastAsia"/>
        </w:rPr>
        <w:t>天后，自动清理甲方所有数据，包括且不限于系统信息、文件附件等。</w:t>
      </w:r>
    </w:p>
    <w:p w14:paraId="5F8EE1BB">
      <w:pPr>
        <w:rPr>
          <w:b/>
          <w:bCs/>
        </w:rPr>
      </w:pPr>
      <w:r>
        <w:rPr>
          <w:rFonts w:hint="eastAsia"/>
        </w:rPr>
        <w:t>c）合同开始日期，以上次合同约定到期日期的次日为开始日期</w:t>
      </w:r>
      <w:bookmarkEnd w:id="0"/>
      <w:r>
        <w:rPr>
          <w:rFonts w:hint="eastAsia" w:ascii="Tahoma" w:hAnsi="Tahoma" w:eastAsia="Times New Roman" w:cs="Tahoma"/>
        </w:rPr>
        <w:br w:type="textWrapping"/>
      </w:r>
    </w:p>
    <w:p w14:paraId="7DB43354">
      <w:pPr>
        <w:rPr>
          <w:rFonts w:ascii="Tahoma" w:hAnsi="Tahoma" w:eastAsia="Times New Roman" w:cs="Tahoma"/>
        </w:rPr>
      </w:pPr>
      <w:r>
        <w:rPr>
          <w:rFonts w:ascii="Tahoma" w:hAnsi="Tahoma" w:eastAsia="Times New Roman" w:cs="Tahoma"/>
          <w:b/>
          <w:bCs/>
        </w:rPr>
        <w:t>6.</w:t>
      </w:r>
      <w:r>
        <w:rPr>
          <w:rFonts w:hint="eastAsia"/>
          <w:b/>
          <w:bCs/>
        </w:rPr>
        <w:t>服务流程：</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确认服务开通：甲方在乙方网站成功注册账户后，服务正式开通，甲方默认选择的是免费服务，如果免费服务提供的系统模块不能满足甲方业务需要，甲方可以在系统中进行升级以及付费操作，在乙方收到甲支付方付用费后，乙方在一个工作日为甲方开通升级后的软件功能</w:t>
      </w:r>
      <w:r>
        <w:rPr>
          <w:rFonts w:hint="eastAsia"/>
          <w:color w:val="000000" w:themeColor="text1"/>
          <w14:textFill>
            <w14:solidFill>
              <w14:schemeClr w14:val="tx1"/>
            </w14:solidFill>
          </w14:textFill>
        </w:rPr>
        <w:t>。乙应在方收到服务费用后的[3]个工作日内费具据增值税专用发票。</w:t>
      </w:r>
      <w:r>
        <w:rPr>
          <w:rFonts w:ascii="Tahoma" w:hAnsi="Tahoma" w:eastAsia="Times New Roman" w:cs="Tahom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　　</w:t>
      </w:r>
      <w:r>
        <w:rPr>
          <w:rFonts w:ascii="Tahoma" w:hAnsi="Tahoma" w:eastAsia="Times New Roman" w:cs="Tahoma"/>
          <w:color w:val="000000" w:themeColor="text1"/>
          <w14:textFill>
            <w14:solidFill>
              <w14:schemeClr w14:val="tx1"/>
            </w14:solidFill>
          </w14:textFill>
        </w:rPr>
        <w:t xml:space="preserve">b) </w:t>
      </w:r>
      <w:r>
        <w:rPr>
          <w:rFonts w:hint="eastAsia"/>
          <w:color w:val="000000" w:themeColor="text1"/>
          <w14:textFill>
            <w14:solidFill>
              <w14:schemeClr w14:val="tx1"/>
            </w14:solidFill>
          </w14:textFill>
        </w:rPr>
        <w:t>乙方系统维护：乙方不定期的在周六的</w:t>
      </w:r>
      <w:r>
        <w:rPr>
          <w:rFonts w:ascii="Tahoma" w:hAnsi="Tahoma" w:eastAsia="Times New Roman" w:cs="Tahoma"/>
          <w:color w:val="000000" w:themeColor="text1"/>
          <w14:textFill>
            <w14:solidFill>
              <w14:schemeClr w14:val="tx1"/>
            </w14:solidFill>
          </w14:textFill>
        </w:rPr>
        <w:t>00:00</w:t>
      </w:r>
      <w:r>
        <w:rPr>
          <w:rFonts w:hint="eastAsia"/>
          <w:color w:val="000000" w:themeColor="text1"/>
          <w14:textFill>
            <w14:solidFill>
              <w14:schemeClr w14:val="tx1"/>
            </w14:solidFill>
          </w14:textFill>
        </w:rPr>
        <w:t>－</w:t>
      </w:r>
      <w:r>
        <w:rPr>
          <w:rFonts w:ascii="Tahoma" w:hAnsi="Tahoma" w:eastAsia="Times New Roman" w:cs="Tahoma"/>
          <w:color w:val="000000" w:themeColor="text1"/>
          <w14:textFill>
            <w14:solidFill>
              <w14:schemeClr w14:val="tx1"/>
            </w14:solidFill>
          </w14:textFill>
        </w:rPr>
        <w:t>6:00</w:t>
      </w:r>
      <w:r>
        <w:rPr>
          <w:rFonts w:hint="eastAsia"/>
          <w:color w:val="000000" w:themeColor="text1"/>
          <w14:textFill>
            <w14:solidFill>
              <w14:schemeClr w14:val="tx1"/>
            </w14:solidFill>
          </w14:textFill>
        </w:rPr>
        <w:t>或周日的</w:t>
      </w:r>
      <w:r>
        <w:rPr>
          <w:rFonts w:ascii="Tahoma" w:hAnsi="Tahoma" w:eastAsia="Times New Roman" w:cs="Tahoma"/>
          <w:color w:val="000000" w:themeColor="text1"/>
          <w14:textFill>
            <w14:solidFill>
              <w14:schemeClr w14:val="tx1"/>
            </w14:solidFill>
          </w14:textFill>
        </w:rPr>
        <w:t>00:</w:t>
      </w:r>
      <w:r>
        <w:rPr>
          <w:rFonts w:ascii="Tahoma" w:hAnsi="Tahoma" w:eastAsia="Times New Roman" w:cs="Tahoma"/>
        </w:rPr>
        <w:t>00</w:t>
      </w:r>
      <w:r>
        <w:rPr>
          <w:rFonts w:hint="eastAsia"/>
        </w:rPr>
        <w:t>－</w:t>
      </w:r>
      <w:r>
        <w:rPr>
          <w:rFonts w:ascii="Tahoma" w:hAnsi="Tahoma" w:eastAsia="Times New Roman" w:cs="Tahoma"/>
        </w:rPr>
        <w:t>6:00(</w:t>
      </w:r>
      <w:r>
        <w:rPr>
          <w:rFonts w:hint="eastAsia"/>
        </w:rPr>
        <w:t>均为北京时间</w:t>
      </w:r>
      <w:r>
        <w:rPr>
          <w:rFonts w:ascii="Tahoma" w:hAnsi="Tahoma" w:eastAsia="Times New Roman" w:cs="Tahoma"/>
        </w:rPr>
        <w:t>)</w:t>
      </w:r>
      <w:r>
        <w:rPr>
          <w:rFonts w:hint="eastAsia"/>
        </w:rPr>
        <w:t>为乙方设备进行维修维护。乙方须在维护开始的五个工作日之前以书面形式在乙方官方网站上发布系统维护公告。若甲方在乙方公告的系统维护时间段有特殊服务要求，可提前跟乙方进行磋商</w:t>
      </w:r>
      <w:r>
        <w:t>。</w:t>
      </w:r>
    </w:p>
    <w:p w14:paraId="3E7999BC">
      <w:r>
        <w:rPr>
          <w:rFonts w:ascii="Tahoma" w:hAnsi="Tahoma" w:eastAsia="Times New Roman" w:cs="Tahoma"/>
          <w:b/>
          <w:bCs/>
        </w:rPr>
        <w:t>7.</w:t>
      </w:r>
      <w:r>
        <w:rPr>
          <w:rFonts w:hint="eastAsia"/>
          <w:b/>
          <w:bCs/>
        </w:rPr>
        <w:t>双方权利和义务：</w:t>
      </w:r>
      <w:r>
        <w:rPr>
          <w:rFonts w:ascii="Tahoma" w:hAnsi="Tahoma" w:eastAsia="Times New Roman" w:cs="Tahoma"/>
        </w:rPr>
        <w:br w:type="textWrapping"/>
      </w:r>
      <w:r>
        <w:rPr>
          <w:rFonts w:hint="eastAsia"/>
        </w:rPr>
        <w:t>　</w:t>
      </w:r>
      <w:r>
        <w:rPr>
          <w:rFonts w:hint="eastAsia"/>
          <w:b/>
          <w:bCs/>
        </w:rPr>
        <w:t>甲方：</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甲方可根据购买的系统模块来使用易点易动资产管理SaaS服务所提供的功能，并得到乙方相应的支持和服务；</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甲方必须遵守《计算机信息网络国际联网安全保护管理办法》、《中华人民共和国计算机信息网络国际联网管理暂行规定》、《中华人民共和国计算机信息系统安全保护条例》、《中华人民共和国电信条例》、《互联网信息服务管理办法》和国家其他有关法律、法规、条例，不得做任何违法经营活动；</w:t>
      </w:r>
      <w:r>
        <w:rPr>
          <w:rFonts w:ascii="Tahoma" w:hAnsi="Tahoma" w:eastAsia="Times New Roman" w:cs="Tahoma"/>
        </w:rPr>
        <w:br w:type="textWrapping"/>
      </w:r>
      <w:r>
        <w:rPr>
          <w:rFonts w:hint="eastAsia"/>
        </w:rPr>
        <w:t>　　</w:t>
      </w:r>
      <w:r>
        <w:rPr>
          <w:rFonts w:ascii="Tahoma" w:hAnsi="Tahoma" w:eastAsia="Times New Roman" w:cs="Tahoma"/>
        </w:rPr>
        <w:t xml:space="preserve">c) </w:t>
      </w:r>
      <w:r>
        <w:rPr>
          <w:rFonts w:hint="eastAsia"/>
        </w:rPr>
        <w:t>甲方有义务维护自己在乙方管理后台上的口令、密码等的完整性和保密性。因甲方维护或保密不善致使相关信息泄露或由于第三方盗用甲方帐号和密码进行各种操作而造成的损失，由甲方自行负责；</w:t>
      </w:r>
      <w:r>
        <w:rPr>
          <w:rFonts w:ascii="Tahoma" w:hAnsi="Tahoma" w:eastAsia="Times New Roman" w:cs="Tahoma"/>
        </w:rPr>
        <w:br w:type="textWrapping"/>
      </w:r>
      <w:r>
        <w:rPr>
          <w:rFonts w:hint="eastAsia"/>
        </w:rPr>
        <w:t>　　</w:t>
      </w:r>
      <w:r>
        <w:rPr>
          <w:rFonts w:ascii="Tahoma" w:hAnsi="Tahoma" w:eastAsia="Times New Roman" w:cs="Tahoma"/>
        </w:rPr>
        <w:t xml:space="preserve">d) </w:t>
      </w:r>
      <w:r>
        <w:rPr>
          <w:rFonts w:hint="eastAsia"/>
        </w:rPr>
        <w:t>甲方应按本协议约定按时向乙方支付服务费非因不可抗力等合理原因用。若甲方延迟支付服务费超过【</w:t>
      </w:r>
      <w:r>
        <w:rPr>
          <w:rFonts w:ascii="Tahoma" w:hAnsi="Tahoma" w:eastAsia="Times New Roman" w:cs="Tahoma"/>
        </w:rPr>
        <w:t>30</w:t>
      </w:r>
      <w:r>
        <w:rPr>
          <w:rFonts w:hint="eastAsia"/>
        </w:rPr>
        <w:t>】天，乙方有权暂停服务，直到甲方全额支付应付未付的费用为止。</w:t>
      </w:r>
    </w:p>
    <w:p w14:paraId="0684933F">
      <w:r>
        <w:rPr>
          <w:rFonts w:ascii="Tahoma" w:hAnsi="Tahoma" w:eastAsia="Times New Roman" w:cs="Tahoma"/>
        </w:rPr>
        <w:t xml:space="preserve">      e</w:t>
      </w:r>
      <w:r>
        <w:rPr>
          <w:rFonts w:hint="eastAsia" w:ascii="Microsoft YaHei UI" w:hAnsi="Microsoft YaHei UI" w:eastAsia="Microsoft YaHei UI" w:cs="Microsoft YaHei UI"/>
        </w:rPr>
        <w:t>）</w:t>
      </w:r>
      <w:r>
        <w:rPr>
          <w:rFonts w:hint="eastAsia"/>
        </w:rPr>
        <w:t>如遇甲方人</w:t>
      </w:r>
      <w:r>
        <w:t>员</w:t>
      </w:r>
      <w:r>
        <w:rPr>
          <w:rFonts w:hint="eastAsia"/>
        </w:rPr>
        <w:t>离</w:t>
      </w:r>
      <w:r>
        <w:t>职</w:t>
      </w:r>
      <w:r>
        <w:rPr>
          <w:rFonts w:hint="eastAsia"/>
        </w:rPr>
        <w:t>，</w:t>
      </w:r>
      <w:r>
        <w:t>应</w:t>
      </w:r>
      <w:r>
        <w:rPr>
          <w:rFonts w:hint="eastAsia"/>
        </w:rPr>
        <w:t>将易点易动资产管理SaaS系统</w:t>
      </w:r>
      <w:r>
        <w:t>使用操作纳入</w:t>
      </w:r>
      <w:r>
        <w:rPr>
          <w:rFonts w:hint="eastAsia"/>
        </w:rPr>
        <w:t>工作</w:t>
      </w:r>
      <w:r>
        <w:t>交接范畴</w:t>
      </w:r>
      <w:r>
        <w:rPr>
          <w:rFonts w:hint="eastAsia"/>
        </w:rPr>
        <w:t>。</w:t>
      </w:r>
      <w:r>
        <w:t>如因未做交接</w:t>
      </w:r>
      <w:r>
        <w:rPr>
          <w:rFonts w:hint="eastAsia"/>
        </w:rPr>
        <w:t>造成系统</w:t>
      </w:r>
      <w:r>
        <w:t>使用</w:t>
      </w:r>
      <w:r>
        <w:rPr>
          <w:rFonts w:hint="eastAsia"/>
        </w:rPr>
        <w:t>不便</w:t>
      </w:r>
      <w:r>
        <w:t>，</w:t>
      </w:r>
      <w:r>
        <w:rPr>
          <w:rFonts w:hint="eastAsia"/>
        </w:rPr>
        <w:t>由甲方自行负责</w:t>
      </w:r>
      <w:r>
        <w:t>；</w:t>
      </w:r>
      <w:r>
        <w:rPr>
          <w:rFonts w:hint="eastAsia"/>
        </w:rPr>
        <w:t>或向乙方</w:t>
      </w:r>
      <w:r>
        <w:t>支付相应</w:t>
      </w:r>
      <w:r>
        <w:rPr>
          <w:rFonts w:hint="eastAsia"/>
        </w:rPr>
        <w:t>培训</w:t>
      </w:r>
      <w:r>
        <w:t>费用</w:t>
      </w:r>
      <w:r>
        <w:rPr>
          <w:rFonts w:hint="eastAsia"/>
        </w:rPr>
        <w:t>，</w:t>
      </w:r>
      <w:r>
        <w:t>进行系统使用培训。</w:t>
      </w:r>
      <w:r>
        <w:rPr>
          <w:rFonts w:ascii="Tahoma" w:hAnsi="Tahoma" w:eastAsia="Times New Roman" w:cs="Tahoma"/>
        </w:rPr>
        <w:br w:type="textWrapping"/>
      </w:r>
      <w:r>
        <w:rPr>
          <w:rFonts w:hint="eastAsia"/>
        </w:rPr>
        <w:t>　</w:t>
      </w:r>
      <w:r>
        <w:rPr>
          <w:rFonts w:hint="eastAsia"/>
          <w:b/>
          <w:bCs/>
        </w:rPr>
        <w:t>乙方：</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乙方有义务对系统进行日常维护和必要的升级，确保系统的正常使用。如确属客观因素导致系统服务中断，乙方应及时通知甲方。由于超出乙方预见能力或控制能力的突发事件或意外事件引起的中断情况，乙方应在情况发生后的合理时间内与甲方沟通，协商解决，并相互配合尽快恢复正常。若因乙方原因导致系统服务中断给甲方造成损失的，乙方应承担相应赔偿责任运行；</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乙方不得无故破坏、干扰为甲方提供的服务，不得干涉甲方使用本服务所进行的业务内容和非法获取甲方的保密信息</w:t>
      </w:r>
      <w:r>
        <w:t>。</w:t>
      </w:r>
    </w:p>
    <w:p w14:paraId="16D82398">
      <w:pPr>
        <w:rPr>
          <w:rFonts w:ascii="Tahoma" w:hAnsi="Tahoma" w:eastAsia="Times New Roman" w:cs="Tahoma"/>
        </w:rPr>
      </w:pPr>
      <w:r>
        <w:rPr>
          <w:rFonts w:ascii="Tahoma" w:hAnsi="Tahoma" w:eastAsia="Times New Roman" w:cs="Tahoma"/>
          <w:b/>
          <w:bCs/>
        </w:rPr>
        <w:t>8.</w:t>
      </w:r>
      <w:r>
        <w:rPr>
          <w:rFonts w:hint="eastAsia"/>
          <w:b/>
          <w:bCs/>
        </w:rPr>
        <w:t>知识产权和保密</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乙方拥有向甲方提供的任何支持、服务所包含的资料、信息、数据等的知识产权；</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甲方不得将涉及乙方拥有知识产权的相关内容用于非本协议目的以外的任何商业目的或泄露给第，但甲方因履行本协议所需的合理使用以及在法律要求披露等不可抗力情况下的披露除外三方</w:t>
      </w:r>
      <w:r>
        <w:t>。</w:t>
      </w:r>
    </w:p>
    <w:p w14:paraId="5F67B3E3">
      <w:pPr>
        <w:rPr>
          <w:rFonts w:ascii="Tahoma" w:hAnsi="Tahoma" w:eastAsia="Times New Roman" w:cs="Tahoma"/>
        </w:rPr>
      </w:pPr>
      <w:r>
        <w:rPr>
          <w:rFonts w:ascii="Tahoma" w:hAnsi="Tahoma" w:eastAsia="Times New Roman" w:cs="Tahoma"/>
          <w:b/>
          <w:bCs/>
        </w:rPr>
        <w:t>9.</w:t>
      </w:r>
      <w:r>
        <w:rPr>
          <w:rFonts w:hint="eastAsia"/>
          <w:b/>
          <w:bCs/>
        </w:rPr>
        <w:t>不可抗力及免责条款</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鉴于计算机及互联网的特殊性，因黑客、病毒、电信部门技术或政策调整等引起的事件，或乙方为进行服务器配置、维护而短时间（</w:t>
      </w:r>
      <w:r>
        <w:rPr>
          <w:rFonts w:ascii="Tahoma" w:hAnsi="Tahoma" w:eastAsia="Times New Roman" w:cs="Tahoma"/>
        </w:rPr>
        <w:t>4</w:t>
      </w:r>
      <w:r>
        <w:rPr>
          <w:rFonts w:hint="eastAsia"/>
        </w:rPr>
        <w:t>小时内为短时间，且应尽早通知甲方）中断服务，或由于</w:t>
      </w:r>
      <w:r>
        <w:rPr>
          <w:rFonts w:ascii="Tahoma" w:hAnsi="Tahoma" w:eastAsia="Times New Roman" w:cs="Tahoma"/>
        </w:rPr>
        <w:t>Internet</w:t>
      </w:r>
      <w:r>
        <w:rPr>
          <w:rFonts w:hint="eastAsia"/>
        </w:rPr>
        <w:t>上通路的阻塞造成甲方服务受到影响，不属于乙方违约，乙方不承担责任；</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甲乙双方任何一方因为政府禁令、罢工、现行生效的适用法律或法规的变更、洪水、火灾、爆炸、雷电、地震、风暴、停电、通讯线路中断、他人蓄意破坏、黑客攻击、计算机病毒入侵或发作、电信部门技术、政策，政府管制等及其他不可预见、不可避免、不可克服和不可控制的不可抗力和事件影响网络正常运营，从而全部或部分不能履行本合同或迟延履行本合同的，双方互不承担责任，但受不可抗力影响的一方应自不可抗力事件发生之日起七日内，将事件情况以书面形式通知另一方，并于事件发生之日起二十日内，向另一方提交导致其全部或部分不能履行或迟延履行的证明。遭受不可抗力的一方应采取一切必要措施减少损失，并在事件消除后协商恢复本合同的履行，除非此等履行已不可能或者不必要；</w:t>
      </w:r>
      <w:r>
        <w:rPr>
          <w:rFonts w:ascii="Tahoma" w:hAnsi="Tahoma" w:eastAsia="Times New Roman" w:cs="Tahoma"/>
        </w:rPr>
        <w:br w:type="textWrapping"/>
      </w:r>
      <w:r>
        <w:rPr>
          <w:rFonts w:ascii="Tahoma" w:hAnsi="Tahoma" w:eastAsia="Times New Roman" w:cs="Tahoma"/>
          <w:b/>
          <w:bCs/>
        </w:rPr>
        <w:t>10.</w:t>
      </w:r>
      <w:r>
        <w:rPr>
          <w:rFonts w:hint="eastAsia"/>
          <w:b/>
          <w:bCs/>
        </w:rPr>
        <w:t>合同解除</w:t>
      </w:r>
      <w:r>
        <w:rPr>
          <w:rFonts w:ascii="Tahoma" w:hAnsi="Tahoma" w:eastAsia="Times New Roman" w:cs="Tahoma"/>
        </w:rPr>
        <w:br w:type="textWrapping"/>
      </w:r>
      <w:r>
        <w:rPr>
          <w:rFonts w:hint="eastAsia"/>
        </w:rPr>
        <w:t>　　本合同在下述情形下解除，提出解除的一方应提前七日以书面形式通知另一方：</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双方协商一致解除本合同；</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本合同期限届满，双方未续签的；</w:t>
      </w:r>
      <w:r>
        <w:rPr>
          <w:rFonts w:ascii="Tahoma" w:hAnsi="Tahoma" w:eastAsia="Times New Roman" w:cs="Tahoma"/>
        </w:rPr>
        <w:br w:type="textWrapping"/>
      </w:r>
      <w:r>
        <w:rPr>
          <w:rFonts w:hint="eastAsia"/>
        </w:rPr>
        <w:t>　　</w:t>
      </w:r>
      <w:r>
        <w:rPr>
          <w:rFonts w:ascii="Tahoma" w:hAnsi="Tahoma" w:eastAsia="Times New Roman" w:cs="Tahoma"/>
        </w:rPr>
        <w:t xml:space="preserve">c) </w:t>
      </w:r>
      <w:r>
        <w:rPr>
          <w:rFonts w:hint="eastAsia"/>
        </w:rPr>
        <w:t>一方当事人主体资格消失，如被撤消或进入破产、清算程序，另一方有权解除合同，但进行重组、名称变更、分立或与第三方合并等不在此列；</w:t>
      </w:r>
      <w:r>
        <w:rPr>
          <w:rFonts w:ascii="Tahoma" w:hAnsi="Tahoma" w:eastAsia="Times New Roman" w:cs="Tahoma"/>
        </w:rPr>
        <w:br w:type="textWrapping"/>
      </w:r>
      <w:r>
        <w:rPr>
          <w:rFonts w:hint="eastAsia"/>
        </w:rPr>
        <w:t>　　</w:t>
      </w:r>
      <w:r>
        <w:rPr>
          <w:rFonts w:ascii="Tahoma" w:hAnsi="Tahoma" w:eastAsia="Times New Roman" w:cs="Tahoma"/>
        </w:rPr>
        <w:t xml:space="preserve">d) </w:t>
      </w:r>
      <w:r>
        <w:rPr>
          <w:rFonts w:hint="eastAsia"/>
        </w:rPr>
        <w:t>一方未履行或违反依据本合同所应承担的义务，经另一方给予一定期限仍不履行义务或不予采取补救措施，致使另一方依据本合同的预期利益无法实现或合同继续履行没有必要，另一方有权解除合同；</w:t>
      </w:r>
      <w:r>
        <w:rPr>
          <w:rFonts w:ascii="Tahoma" w:hAnsi="Tahoma" w:eastAsia="Times New Roman" w:cs="Tahoma"/>
        </w:rPr>
        <w:br w:type="textWrapping"/>
      </w:r>
      <w:r>
        <w:rPr>
          <w:rFonts w:hint="eastAsia"/>
        </w:rPr>
        <w:t>　　</w:t>
      </w:r>
      <w:r>
        <w:rPr>
          <w:rFonts w:ascii="Tahoma" w:hAnsi="Tahoma" w:eastAsia="Times New Roman" w:cs="Tahoma"/>
        </w:rPr>
        <w:t xml:space="preserve">e) </w:t>
      </w:r>
      <w:r>
        <w:rPr>
          <w:rFonts w:hint="eastAsia"/>
        </w:rPr>
        <w:t>一方在合同订立、履行中采取欺诈、胁迫或者暴力等手段，另一方均可以解除本合同并有权要求对方赔偿损失；</w:t>
      </w:r>
      <w:r>
        <w:rPr>
          <w:rFonts w:ascii="Tahoma" w:hAnsi="Tahoma" w:eastAsia="Times New Roman" w:cs="Tahoma"/>
        </w:rPr>
        <w:br w:type="textWrapping"/>
      </w:r>
      <w:r>
        <w:rPr>
          <w:rFonts w:hint="eastAsia"/>
        </w:rPr>
        <w:t>　　</w:t>
      </w:r>
      <w:r>
        <w:rPr>
          <w:rFonts w:ascii="Tahoma" w:hAnsi="Tahoma" w:eastAsia="Times New Roman" w:cs="Tahoma"/>
        </w:rPr>
        <w:t xml:space="preserve">f) </w:t>
      </w:r>
      <w:r>
        <w:rPr>
          <w:rFonts w:hint="eastAsia"/>
        </w:rPr>
        <w:t>由于不可抗力或意外事件使合同无法继续履行或继续履行没有必要，双均可要求解除合同；。</w:t>
      </w:r>
      <w:r>
        <w:rPr>
          <w:rFonts w:ascii="Tahoma" w:hAnsi="Tahoma" w:eastAsia="Times New Roman" w:cs="Tahoma"/>
        </w:rPr>
        <w:br w:type="textWrapping"/>
      </w:r>
      <w:r>
        <w:rPr>
          <w:rFonts w:hint="eastAsia"/>
        </w:rPr>
        <w:t>　　合同解除后，双方依据本合同的权利义务终止，但一方在合同解除前本应履行的义务仍需履行。除因不可抗力或意外事件致使合同解除的情形外，引起合同解除事由的一方应赔偿因合同解除给另一方造成的损失</w:t>
      </w:r>
      <w:r>
        <w:t>。</w:t>
      </w:r>
    </w:p>
    <w:p w14:paraId="77D9A83D">
      <w:r>
        <w:rPr>
          <w:rFonts w:ascii="Tahoma" w:hAnsi="Tahoma" w:eastAsia="Times New Roman" w:cs="Tahoma"/>
          <w:b/>
          <w:bCs/>
        </w:rPr>
        <w:t>11.</w:t>
      </w:r>
      <w:r>
        <w:rPr>
          <w:rFonts w:hint="eastAsia"/>
          <w:b/>
          <w:bCs/>
        </w:rPr>
        <w:t>违约责任及赔偿</w:t>
      </w:r>
      <w:r>
        <w:rPr>
          <w:rFonts w:ascii="Tahoma" w:hAnsi="Tahoma" w:eastAsia="Times New Roman" w:cs="Tahoma"/>
        </w:rPr>
        <w:br w:type="textWrapping"/>
      </w:r>
      <w:r>
        <w:rPr>
          <w:rFonts w:hint="eastAsia"/>
        </w:rPr>
        <w:t>　</w:t>
      </w:r>
      <w:bookmarkStart w:id="1" w:name="_Hlk186460199"/>
      <w:r>
        <w:rPr>
          <w:rFonts w:hint="eastAsia"/>
        </w:rPr>
        <w:t>　</w:t>
      </w:r>
      <w:r>
        <w:rPr>
          <w:rFonts w:ascii="Tahoma" w:hAnsi="Tahoma" w:eastAsia="Times New Roman" w:cs="Tahoma"/>
        </w:rPr>
        <w:t xml:space="preserve">a) </w:t>
      </w:r>
      <w:r>
        <w:rPr>
          <w:rFonts w:hint="eastAsia"/>
        </w:rPr>
        <w:t>因乙方原因造成甲方无法取得相应服务，乙方应补偿甲方双倍于中断服务时间的服务期限。由于乙方原因给甲方造成其他经济损失的，甲方有权向乙方追偿。</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甲方未按时支付乙方年服务费，乙方有权向甲方索取滞纳金。该滞纳金每日按照甲方应付而未付款项的</w:t>
      </w:r>
      <w:r>
        <w:rPr>
          <w:rFonts w:ascii="Tahoma" w:hAnsi="Tahoma" w:eastAsia="Times New Roman" w:cs="Tahoma"/>
        </w:rPr>
        <w:t xml:space="preserve"> 0.</w:t>
      </w:r>
      <w:r>
        <w:rPr>
          <w:rFonts w:hint="eastAsia" w:ascii="Tahoma" w:hAnsi="Tahoma" w:cs="Tahoma"/>
        </w:rPr>
        <w:t>03</w:t>
      </w:r>
      <w:r>
        <w:rPr>
          <w:rFonts w:ascii="Tahoma" w:hAnsi="Tahoma" w:eastAsia="Times New Roman" w:cs="Tahoma"/>
        </w:rPr>
        <w:t>%</w:t>
      </w:r>
      <w:r>
        <w:rPr>
          <w:rFonts w:hint="eastAsia"/>
        </w:rPr>
        <w:t>计算。</w:t>
      </w:r>
      <w:r>
        <w:rPr>
          <w:rFonts w:ascii="Tahoma" w:hAnsi="Tahoma" w:eastAsia="Times New Roman" w:cs="Tahoma"/>
        </w:rPr>
        <w:br w:type="textWrapping"/>
      </w:r>
      <w:r>
        <w:rPr>
          <w:rFonts w:hint="eastAsia"/>
        </w:rPr>
        <w:t>　　</w:t>
      </w:r>
      <w:r>
        <w:rPr>
          <w:rFonts w:ascii="Tahoma" w:hAnsi="Tahoma" w:eastAsia="Times New Roman" w:cs="Tahoma"/>
        </w:rPr>
        <w:t xml:space="preserve">c) </w:t>
      </w:r>
      <w:r>
        <w:rPr>
          <w:rFonts w:hint="eastAsia"/>
        </w:rPr>
        <w:t>甲方违反依据本合同应当承担的义务而给乙方造成损失的，乙方有权向甲方追偿。</w:t>
      </w:r>
      <w:r>
        <w:rPr>
          <w:rFonts w:ascii="Tahoma" w:hAnsi="Tahoma" w:eastAsia="Times New Roman" w:cs="Tahoma"/>
        </w:rPr>
        <w:br w:type="textWrapping"/>
      </w:r>
      <w:r>
        <w:rPr>
          <w:rFonts w:hint="eastAsia"/>
        </w:rPr>
        <w:t>　　</w:t>
      </w:r>
      <w:r>
        <w:rPr>
          <w:rFonts w:ascii="Tahoma" w:hAnsi="Tahoma" w:eastAsia="Times New Roman" w:cs="Tahoma"/>
        </w:rPr>
        <w:t xml:space="preserve">d) </w:t>
      </w:r>
      <w:r>
        <w:rPr>
          <w:rFonts w:hint="eastAsia"/>
        </w:rPr>
        <w:t>按本合同规定应该偿付的赔偿金和各种经济损失，应当在明确责任后十天内，按银行规定的结算办法付清，否则按逾期付款处理，每逾一日，应向对方支付应付价款</w:t>
      </w:r>
      <w:r>
        <w:rPr>
          <w:rFonts w:ascii="Tahoma" w:hAnsi="Tahoma" w:eastAsia="Times New Roman" w:cs="Tahoma"/>
        </w:rPr>
        <w:t xml:space="preserve"> 0.</w:t>
      </w:r>
      <w:r>
        <w:rPr>
          <w:rFonts w:hint="eastAsia" w:ascii="Tahoma" w:hAnsi="Tahoma" w:cs="Tahoma"/>
        </w:rPr>
        <w:t>03</w:t>
      </w:r>
      <w:r>
        <w:rPr>
          <w:rFonts w:ascii="Tahoma" w:hAnsi="Tahoma" w:eastAsia="Times New Roman" w:cs="Tahoma"/>
        </w:rPr>
        <w:t xml:space="preserve"> %</w:t>
      </w:r>
      <w:r>
        <w:rPr>
          <w:rFonts w:hint="eastAsia"/>
        </w:rPr>
        <w:t>的滞纳金</w:t>
      </w:r>
      <w:r>
        <w:t>。</w:t>
      </w:r>
    </w:p>
    <w:p w14:paraId="33853BC7">
      <w:pPr>
        <w:rPr>
          <w:rFonts w:ascii="Tahoma" w:hAnsi="Tahoma" w:eastAsia="Times New Roman" w:cs="Tahoma"/>
        </w:rPr>
      </w:pPr>
      <w:r>
        <w:rPr>
          <w:rFonts w:hint="eastAsia"/>
        </w:rPr>
        <w:t xml:space="preserve"> </w:t>
      </w:r>
      <w:r>
        <w:rPr>
          <w:rFonts w:hint="eastAsia" w:ascii="Tahoma" w:hAnsi="Tahoma" w:eastAsia="Times New Roman" w:cs="Tahoma"/>
        </w:rPr>
        <w:t xml:space="preserve">    e) </w:t>
      </w:r>
      <w:r>
        <w:rPr>
          <w:rFonts w:hint="eastAsia"/>
        </w:rPr>
        <w:t>任一一方无故要求解除本合同，应当向另一方支付本合同金额30%违约金。</w:t>
      </w:r>
      <w:r>
        <w:rPr>
          <w:rFonts w:hint="eastAsia" w:ascii="Arial" w:hAnsi="Arial" w:cs="Arial"/>
          <w:color w:val="333333"/>
          <w:sz w:val="16"/>
          <w:szCs w:val="16"/>
          <w:shd w:val="clear" w:color="auto" w:fill="FFFFFF"/>
        </w:rPr>
        <w:br w:type="textWrapping"/>
      </w:r>
      <w:bookmarkEnd w:id="1"/>
      <w:r>
        <w:rPr>
          <w:rFonts w:ascii="Tahoma" w:hAnsi="Tahoma" w:eastAsia="Times New Roman" w:cs="Tahoma"/>
          <w:b/>
          <w:bCs/>
        </w:rPr>
        <w:t>12.</w:t>
      </w:r>
      <w:r>
        <w:rPr>
          <w:rFonts w:hint="eastAsia"/>
          <w:b/>
          <w:bCs/>
        </w:rPr>
        <w:t>争议解决</w:t>
      </w:r>
      <w:r>
        <w:rPr>
          <w:rFonts w:ascii="Tahoma" w:hAnsi="Tahoma" w:eastAsia="Times New Roman" w:cs="Tahoma"/>
        </w:rPr>
        <w:br w:type="textWrapping"/>
      </w:r>
      <w:r>
        <w:rPr>
          <w:rFonts w:hint="eastAsia"/>
        </w:rPr>
        <w:t>　　双方因履行本合同而发生的争议，应协商、调解解决。协商、调解不成的依法向甲方所在地人民法院提起诉讼</w:t>
      </w:r>
      <w:r>
        <w:t>。</w:t>
      </w:r>
    </w:p>
    <w:p w14:paraId="14C7D284">
      <w:pPr>
        <w:rPr>
          <w:rFonts w:ascii="Tahoma" w:hAnsi="Tahoma" w:eastAsia="Times New Roman" w:cs="Tahoma"/>
        </w:rPr>
      </w:pPr>
      <w:r>
        <w:rPr>
          <w:rFonts w:ascii="Tahoma" w:hAnsi="Tahoma" w:eastAsia="Times New Roman" w:cs="Tahoma"/>
          <w:b/>
          <w:bCs/>
        </w:rPr>
        <w:t>13.</w:t>
      </w:r>
      <w:r>
        <w:rPr>
          <w:rFonts w:hint="eastAsia"/>
          <w:b/>
          <w:bCs/>
        </w:rPr>
        <w:t>未尽事宜</w:t>
      </w:r>
      <w:r>
        <w:rPr>
          <w:rFonts w:ascii="Tahoma" w:hAnsi="Tahoma" w:eastAsia="Times New Roman" w:cs="Tahoma"/>
        </w:rPr>
        <w:br w:type="textWrapping"/>
      </w:r>
      <w:r>
        <w:rPr>
          <w:rFonts w:hint="eastAsia"/>
        </w:rPr>
        <w:t>　　</w:t>
      </w:r>
      <w:r>
        <w:rPr>
          <w:rFonts w:ascii="Tahoma" w:hAnsi="Tahoma" w:eastAsia="Times New Roman" w:cs="Tahoma"/>
        </w:rPr>
        <w:t xml:space="preserve">a) </w:t>
      </w:r>
      <w:r>
        <w:rPr>
          <w:rFonts w:hint="eastAsia"/>
        </w:rPr>
        <w:t>本合同经双方签字盖章后生效。在合同有效期内，若有未尽事宜，可通过附件形式予以补充说明，附件需经双方签字盖章确认后，与本合同具同等法律效力。</w:t>
      </w:r>
      <w:r>
        <w:rPr>
          <w:rFonts w:ascii="Tahoma" w:hAnsi="Tahoma" w:eastAsia="Times New Roman" w:cs="Tahoma"/>
        </w:rPr>
        <w:br w:type="textWrapping"/>
      </w:r>
      <w:r>
        <w:rPr>
          <w:rFonts w:hint="eastAsia"/>
        </w:rPr>
        <w:t>　　</w:t>
      </w:r>
      <w:r>
        <w:rPr>
          <w:rFonts w:ascii="Tahoma" w:hAnsi="Tahoma" w:eastAsia="Times New Roman" w:cs="Tahoma"/>
        </w:rPr>
        <w:t xml:space="preserve">b) </w:t>
      </w:r>
      <w:r>
        <w:rPr>
          <w:rFonts w:hint="eastAsia"/>
        </w:rPr>
        <w:t>本合同及其附件一经双方签字确认，须送达双方如下通讯地址：</w:t>
      </w:r>
      <w:r>
        <w:rPr>
          <w:rFonts w:ascii="Tahoma" w:hAnsi="Tahoma" w:eastAsia="Times New Roman" w:cs="Tahoma"/>
        </w:rPr>
        <w:br w:type="textWrapping"/>
      </w:r>
      <w:r>
        <w:rPr>
          <w:rFonts w:hint="eastAsia"/>
        </w:rPr>
        <w:t>　　　</w:t>
      </w:r>
      <w:r>
        <w:rPr>
          <w:rFonts w:ascii="Tahoma" w:hAnsi="Tahoma" w:eastAsia="Times New Roman" w:cs="Tahoma"/>
        </w:rPr>
        <w:t xml:space="preserve">i. </w:t>
      </w:r>
      <w:r>
        <w:rPr>
          <w:rFonts w:hint="eastAsia"/>
        </w:rPr>
        <w:t>甲方通讯地址：</w:t>
      </w:r>
      <w:r>
        <w:rPr>
          <w:rFonts w:ascii="Tahoma" w:hAnsi="Tahoma" w:eastAsia="Times New Roman" w:cs="Tahoma"/>
        </w:rPr>
        <w:t xml:space="preserve"> </w:t>
      </w:r>
      <w:r>
        <w:rPr>
          <w:rFonts w:ascii="Tahoma" w:hAnsi="Tahoma" w:eastAsia="Times New Roman" w:cs="Tahoma"/>
        </w:rPr>
        <w:br w:type="textWrapping"/>
      </w:r>
      <w:r>
        <w:rPr>
          <w:rFonts w:hint="eastAsia"/>
        </w:rPr>
        <w:t>　　　　甲方 收件人：</w:t>
      </w:r>
      <w:r>
        <w:rPr>
          <w:rFonts w:ascii="Tahoma" w:hAnsi="Tahoma" w:eastAsia="Times New Roman" w:cs="Tahoma"/>
        </w:rPr>
        <w:t xml:space="preserve"> </w:t>
      </w:r>
      <w:r>
        <w:rPr>
          <w:rFonts w:ascii="Tahoma" w:hAnsi="Tahoma" w:eastAsia="Times New Roman" w:cs="Tahoma"/>
        </w:rPr>
        <w:br w:type="textWrapping"/>
      </w:r>
      <w:r>
        <w:rPr>
          <w:rFonts w:hint="eastAsia"/>
        </w:rPr>
        <w:t>　　　</w:t>
      </w:r>
      <w:r>
        <w:rPr>
          <w:rFonts w:ascii="Tahoma" w:hAnsi="Tahoma" w:eastAsia="Times New Roman" w:cs="Tahoma"/>
        </w:rPr>
        <w:t xml:space="preserve">ii. </w:t>
      </w:r>
      <w:r>
        <w:rPr>
          <w:rFonts w:hint="eastAsia"/>
        </w:rPr>
        <w:t>乙方通讯地址：北京经济技术开发区林肯公园B区10号楼305</w:t>
      </w:r>
      <w:r>
        <w:rPr>
          <w:rFonts w:ascii="Tahoma" w:hAnsi="Tahoma" w:eastAsia="Times New Roman" w:cs="Tahoma"/>
        </w:rPr>
        <w:br w:type="textWrapping"/>
      </w:r>
      <w:r>
        <w:rPr>
          <w:rFonts w:hint="eastAsia"/>
        </w:rPr>
        <w:t>　　　　乙方收件人：【武新阳】【13681515792】</w:t>
      </w:r>
      <w:r>
        <w:rPr>
          <w:rFonts w:ascii="Tahoma" w:hAnsi="Tahoma" w:eastAsia="Times New Roman" w:cs="Tahoma"/>
        </w:rPr>
        <w:br w:type="textWrapping"/>
      </w:r>
      <w:r>
        <w:rPr>
          <w:rFonts w:hint="eastAsia"/>
        </w:rPr>
        <w:t>　　</w:t>
      </w:r>
      <w:r>
        <w:rPr>
          <w:rFonts w:ascii="Tahoma" w:hAnsi="Tahoma" w:eastAsia="Times New Roman" w:cs="Tahoma"/>
        </w:rPr>
        <w:t xml:space="preserve">c) </w:t>
      </w:r>
      <w:r>
        <w:rPr>
          <w:rFonts w:hint="eastAsia"/>
        </w:rPr>
        <w:t>本合同签署地为</w:t>
      </w:r>
      <w:r>
        <w:rPr>
          <w:rFonts w:ascii="Tahoma" w:hAnsi="Tahoma" w:eastAsia="Times New Roman" w:cs="Tahoma"/>
        </w:rPr>
        <w:t xml:space="preserve"> </w:t>
      </w:r>
      <w:r>
        <w:rPr>
          <w:rFonts w:hint="eastAsia"/>
        </w:rPr>
        <w:t>中国</w:t>
      </w:r>
      <w:r>
        <w:rPr>
          <w:rFonts w:ascii="Tahoma" w:hAnsi="Tahoma" w:eastAsia="Times New Roman" w:cs="Tahoma"/>
        </w:rPr>
        <w:t>•</w:t>
      </w:r>
      <w:r>
        <w:rPr>
          <w:rFonts w:hint="eastAsia"/>
        </w:rPr>
        <w:t>北京</w:t>
      </w:r>
      <w:r>
        <w:rPr>
          <w:rFonts w:ascii="Tahoma" w:hAnsi="Tahoma" w:eastAsia="Times New Roman" w:cs="Tahoma"/>
        </w:rPr>
        <w:t> </w:t>
      </w:r>
      <w:r>
        <w:rPr>
          <w:rFonts w:ascii="Tahoma" w:hAnsi="Tahoma" w:eastAsia="Times New Roman" w:cs="Tahoma"/>
        </w:rPr>
        <w:br w:type="textWrapping"/>
      </w:r>
      <w:r>
        <w:rPr>
          <w:rFonts w:hint="eastAsia"/>
        </w:rPr>
        <w:t>　　</w:t>
      </w:r>
      <w:r>
        <w:rPr>
          <w:rFonts w:ascii="Tahoma" w:hAnsi="Tahoma" w:eastAsia="Times New Roman" w:cs="Tahoma"/>
        </w:rPr>
        <w:t xml:space="preserve">d) </w:t>
      </w:r>
      <w:r>
        <w:rPr>
          <w:rFonts w:hint="eastAsia"/>
        </w:rPr>
        <w:t>本合同壹式【</w:t>
      </w:r>
      <w:r>
        <w:rPr>
          <w:rFonts w:hint="eastAsia"/>
          <w:lang w:val="en-US" w:eastAsia="zh-CN"/>
        </w:rPr>
        <w:t>叁</w:t>
      </w:r>
      <w:r>
        <w:rPr>
          <w:rFonts w:hint="eastAsia"/>
        </w:rPr>
        <w:t>】份，</w:t>
      </w:r>
      <w:r>
        <w:rPr>
          <w:rFonts w:hint="eastAsia"/>
          <w:lang w:val="en-US" w:eastAsia="zh-CN"/>
        </w:rPr>
        <w:t>甲</w:t>
      </w:r>
      <w:r>
        <w:rPr>
          <w:rFonts w:hint="eastAsia"/>
        </w:rPr>
        <w:t>方各执【</w:t>
      </w:r>
      <w:r>
        <w:rPr>
          <w:rFonts w:hint="eastAsia"/>
          <w:lang w:val="en-US" w:eastAsia="zh-CN"/>
        </w:rPr>
        <w:t>贰</w:t>
      </w:r>
      <w:bookmarkStart w:id="3" w:name="_GoBack"/>
      <w:bookmarkEnd w:id="3"/>
      <w:r>
        <w:rPr>
          <w:rFonts w:hint="eastAsia"/>
        </w:rPr>
        <w:t>】份</w:t>
      </w:r>
      <w:r>
        <w:rPr>
          <w:rFonts w:hint="eastAsia"/>
          <w:lang w:eastAsia="zh-CN"/>
        </w:rPr>
        <w:t>，</w:t>
      </w:r>
      <w:r>
        <w:rPr>
          <w:rFonts w:hint="eastAsia"/>
          <w:lang w:val="en-US" w:eastAsia="zh-CN"/>
        </w:rPr>
        <w:t>乙</w:t>
      </w:r>
      <w:r>
        <w:rPr>
          <w:rFonts w:hint="eastAsia"/>
        </w:rPr>
        <w:t>方各执【壹】份，具有同等法律效力</w:t>
      </w:r>
      <w:r>
        <w:t>。</w:t>
      </w:r>
    </w:p>
    <w:p w14:paraId="0F485FFF"/>
    <w:p w14:paraId="7836DFD4"/>
    <w:p w14:paraId="3EB17332">
      <w:pPr>
        <w:rPr>
          <w:rFonts w:ascii="宋体" w:hAnsi="宋体" w:cs="宋体"/>
        </w:rPr>
      </w:pPr>
      <w:r>
        <w:rPr>
          <w:rFonts w:hint="eastAsia" w:ascii="宋体" w:hAnsi="宋体" w:cs="宋体"/>
          <w:b/>
          <w:bCs/>
        </w:rPr>
        <w:t>甲</w:t>
      </w:r>
      <w:r>
        <w:rPr>
          <w:rFonts w:eastAsia="Times New Roman"/>
          <w:b/>
          <w:bCs/>
        </w:rPr>
        <w:t xml:space="preserve"> </w:t>
      </w:r>
      <w:r>
        <w:rPr>
          <w:rFonts w:hint="eastAsia" w:ascii="宋体" w:hAnsi="宋体" w:cs="宋体"/>
          <w:b/>
          <w:bCs/>
        </w:rPr>
        <w:t>方：</w:t>
      </w:r>
      <w:r>
        <w:rPr>
          <w:rFonts w:hint="eastAsia" w:ascii="宋体" w:hAnsi="宋体" w:cs="宋体"/>
          <w:b w:val="0"/>
          <w:bCs w:val="0"/>
          <w:lang w:val="en-US" w:eastAsia="zh-CN"/>
        </w:rPr>
        <w:t>四川省安正企业管理集团有限责任公司</w:t>
      </w:r>
      <w:r>
        <w:rPr>
          <w:rFonts w:hint="eastAsia" w:ascii="宋体" w:hAnsi="宋体" w:cs="宋体"/>
        </w:rPr>
        <w:t>（盖章）</w:t>
      </w:r>
      <w:r>
        <w:rPr>
          <w:rFonts w:hint="eastAsia" w:ascii="宋体" w:hAnsi="宋体" w:cs="宋体"/>
          <w:b/>
          <w:bCs/>
        </w:rPr>
        <w:t>乙</w:t>
      </w:r>
      <w:r>
        <w:rPr>
          <w:rFonts w:eastAsia="Times New Roman"/>
          <w:b/>
          <w:bCs/>
        </w:rPr>
        <w:t xml:space="preserve"> </w:t>
      </w:r>
      <w:r>
        <w:rPr>
          <w:rFonts w:hint="eastAsia" w:ascii="宋体" w:hAnsi="宋体" w:cs="宋体"/>
          <w:b/>
          <w:bCs/>
        </w:rPr>
        <w:t>方：</w:t>
      </w:r>
      <w:r>
        <w:rPr>
          <w:rFonts w:hint="eastAsia" w:ascii="宋体" w:hAnsi="宋体" w:cs="宋体"/>
        </w:rPr>
        <w:t>北京易点易动科技有限公司（盖章）</w:t>
      </w:r>
    </w:p>
    <w:p w14:paraId="08DDDC76"/>
    <w:p w14:paraId="3FAA0D3D">
      <w:pPr>
        <w:rPr>
          <w:rFonts w:ascii="宋体" w:hAnsi="宋体" w:eastAsia="宋体" w:cs="宋体"/>
          <w:b/>
          <w:bCs/>
        </w:rPr>
      </w:pPr>
      <w:r>
        <w:br w:type="textWrapping"/>
      </w:r>
      <w:r>
        <w:rPr>
          <w:rFonts w:hint="eastAsia" w:ascii="宋体" w:hAnsi="宋体" w:eastAsia="宋体" w:cs="宋体"/>
          <w:b/>
          <w:bCs/>
        </w:rPr>
        <w:t>法定代表人／委托代理人：</w:t>
      </w:r>
      <w:r>
        <w:rPr>
          <w:u w:val="single"/>
        </w:rPr>
        <w:t>                  </w:t>
      </w:r>
      <w:r>
        <w:rPr>
          <w:rFonts w:hint="eastAsia" w:ascii="宋体" w:hAnsi="宋体" w:eastAsia="宋体" w:cs="宋体"/>
        </w:rPr>
        <w:t xml:space="preserve">（签名）  </w:t>
      </w:r>
      <w:r>
        <w:rPr>
          <w:rFonts w:hint="eastAsia" w:ascii="宋体" w:hAnsi="宋体" w:eastAsia="宋体" w:cs="宋体"/>
          <w:lang w:val="en-US" w:eastAsia="zh-CN"/>
        </w:rPr>
        <w:t xml:space="preserve">      </w:t>
      </w:r>
      <w:r>
        <w:rPr>
          <w:rFonts w:hint="eastAsia" w:ascii="宋体" w:hAnsi="宋体" w:eastAsia="宋体" w:cs="宋体"/>
          <w:b/>
          <w:bCs/>
        </w:rPr>
        <w:t>法定代表人／委托代理人：</w:t>
      </w:r>
      <w:r>
        <w:rPr>
          <w:u w:val="single"/>
        </w:rPr>
        <w:t>                   </w:t>
      </w:r>
      <w:r>
        <w:rPr>
          <w:rFonts w:hint="eastAsia" w:ascii="宋体" w:hAnsi="宋体" w:eastAsia="宋体" w:cs="宋体"/>
        </w:rPr>
        <w:t>（签名）</w:t>
      </w:r>
      <w:r>
        <w:br w:type="textWrapping"/>
      </w:r>
      <w:r>
        <w:br w:type="textWrapping"/>
      </w:r>
      <w:r>
        <w:br w:type="textWrapping"/>
      </w:r>
      <w:r>
        <w:rPr>
          <w:rFonts w:hint="eastAsia" w:ascii="宋体" w:hAnsi="宋体" w:eastAsia="宋体" w:cs="宋体"/>
          <w:b/>
          <w:bCs/>
        </w:rPr>
        <w:t>日</w:t>
      </w:r>
      <w:r>
        <w:rPr>
          <w:b/>
          <w:bCs/>
        </w:rPr>
        <w:t xml:space="preserve"> </w:t>
      </w:r>
      <w:r>
        <w:rPr>
          <w:rFonts w:hint="eastAsia" w:ascii="宋体" w:hAnsi="宋体" w:eastAsia="宋体" w:cs="宋体"/>
          <w:b/>
          <w:bCs/>
        </w:rPr>
        <w:t>期：</w:t>
      </w:r>
      <w:r>
        <w:rPr>
          <w:u w:val="single"/>
        </w:rPr>
        <w:t>             </w:t>
      </w:r>
      <w:r>
        <w:rPr>
          <w:rFonts w:hint="eastAsia" w:ascii="宋体" w:hAnsi="宋体" w:eastAsia="宋体" w:cs="宋体"/>
        </w:rPr>
        <w:t>年</w:t>
      </w:r>
      <w:r>
        <w:rPr>
          <w:u w:val="single"/>
        </w:rPr>
        <w:t>      </w:t>
      </w:r>
      <w:r>
        <w:rPr>
          <w:rFonts w:hint="eastAsia" w:ascii="宋体" w:hAnsi="宋体" w:eastAsia="宋体" w:cs="宋体"/>
        </w:rPr>
        <w:t>月</w:t>
      </w:r>
      <w:r>
        <w:rPr>
          <w:u w:val="single"/>
        </w:rPr>
        <w:t>       </w:t>
      </w:r>
      <w:r>
        <w:rPr>
          <w:rFonts w:hint="eastAsia" w:ascii="宋体" w:hAnsi="宋体" w:eastAsia="宋体" w:cs="宋体"/>
        </w:rPr>
        <w:t xml:space="preserve">日                       </w:t>
      </w:r>
      <w:r>
        <w:rPr>
          <w:rFonts w:hint="eastAsia" w:ascii="宋体" w:hAnsi="宋体" w:eastAsia="宋体" w:cs="宋体"/>
          <w:lang w:val="en-US" w:eastAsia="zh-CN"/>
        </w:rPr>
        <w:t xml:space="preserve">  </w:t>
      </w:r>
      <w:r>
        <w:rPr>
          <w:rFonts w:hint="eastAsia" w:ascii="宋体" w:hAnsi="宋体" w:eastAsia="宋体" w:cs="宋体"/>
          <w:b/>
          <w:bCs/>
        </w:rPr>
        <w:t>日</w:t>
      </w:r>
      <w:r>
        <w:rPr>
          <w:b/>
          <w:bCs/>
        </w:rPr>
        <w:t xml:space="preserve"> </w:t>
      </w:r>
      <w:r>
        <w:rPr>
          <w:rFonts w:hint="eastAsia" w:ascii="宋体" w:hAnsi="宋体" w:eastAsia="宋体" w:cs="宋体"/>
          <w:b/>
          <w:bCs/>
        </w:rPr>
        <w:t>期：</w:t>
      </w:r>
      <w:r>
        <w:rPr>
          <w:u w:val="single"/>
        </w:rPr>
        <w:t>             </w:t>
      </w:r>
      <w:r>
        <w:rPr>
          <w:rFonts w:hint="eastAsia" w:ascii="宋体" w:hAnsi="宋体" w:eastAsia="宋体" w:cs="宋体"/>
        </w:rPr>
        <w:t>年</w:t>
      </w:r>
      <w:r>
        <w:rPr>
          <w:u w:val="single"/>
        </w:rPr>
        <w:t>    </w:t>
      </w:r>
      <w:r>
        <w:rPr>
          <w:rFonts w:hint="eastAsia"/>
          <w:u w:val="single"/>
        </w:rPr>
        <w:t xml:space="preserve"> </w:t>
      </w:r>
      <w:r>
        <w:rPr>
          <w:u w:val="single"/>
        </w:rPr>
        <w:t> </w:t>
      </w:r>
      <w:r>
        <w:rPr>
          <w:rFonts w:hint="eastAsia" w:ascii="宋体" w:hAnsi="宋体" w:eastAsia="宋体" w:cs="宋体"/>
        </w:rPr>
        <w:t>月</w:t>
      </w:r>
      <w:r>
        <w:rPr>
          <w:u w:val="single"/>
        </w:rPr>
        <w:t> </w:t>
      </w:r>
      <w:r>
        <w:rPr>
          <w:rFonts w:hint="eastAsia"/>
          <w:u w:val="single"/>
        </w:rPr>
        <w:t xml:space="preserve">  </w:t>
      </w:r>
      <w:r>
        <w:rPr>
          <w:u w:val="single"/>
        </w:rPr>
        <w:t>    </w:t>
      </w:r>
      <w:r>
        <w:rPr>
          <w:rFonts w:hint="eastAsia" w:ascii="宋体" w:hAnsi="宋体" w:eastAsia="宋体" w:cs="宋体"/>
        </w:rPr>
        <w:t>日</w:t>
      </w:r>
    </w:p>
    <w:p w14:paraId="58395F35">
      <w:pPr>
        <w:rPr>
          <w:rFonts w:ascii="Tahoma" w:hAnsi="Tahoma" w:eastAsia="Times New Roman" w:cs="Tahoma"/>
        </w:rPr>
      </w:pPr>
      <w:r>
        <w:rPr>
          <w:rFonts w:hint="eastAsia"/>
        </w:rPr>
        <w:br w:type="textWrapping"/>
      </w:r>
      <w:r>
        <w:rPr>
          <w:rFonts w:hint="eastAsia"/>
        </w:rPr>
        <w:br w:type="textWrapping"/>
      </w:r>
      <w:r>
        <w:rPr>
          <w:rFonts w:hint="eastAsia"/>
        </w:rPr>
        <w:br w:type="textWrapping"/>
      </w:r>
      <w:r>
        <w:rPr>
          <w:rFonts w:hint="eastAsia"/>
        </w:rPr>
        <w:t>附件一</w:t>
      </w:r>
      <w:r>
        <w:t>：</w:t>
      </w:r>
    </w:p>
    <w:p w14:paraId="410E300A"/>
    <w:p w14:paraId="1A5DE9CC"/>
    <w:p w14:paraId="3FD70119">
      <w:r>
        <w:rPr>
          <w:rFonts w:hint="eastAsia"/>
        </w:rPr>
        <w:t>易点易动资产管理SaaS服务收费标准和安排</w:t>
      </w:r>
    </w:p>
    <w:p w14:paraId="31600D94"/>
    <w:p w14:paraId="1CD80DD9">
      <w:pPr>
        <w:rPr>
          <w:rFonts w:ascii="Tahoma" w:hAnsi="Tahoma" w:cs="Tahoma"/>
        </w:rPr>
      </w:pPr>
      <w:r>
        <w:rPr>
          <w:rFonts w:ascii="Tahoma" w:hAnsi="Tahoma" w:eastAsia="Times New Roman" w:cs="Tahoma"/>
        </w:rPr>
        <w:t xml:space="preserve">1. </w:t>
      </w:r>
      <w:r>
        <w:rPr>
          <w:rFonts w:hint="eastAsia"/>
        </w:rPr>
        <w:t>服务费用标准和价</w:t>
      </w:r>
      <w:r>
        <w:t>格</w:t>
      </w:r>
      <w:r>
        <w:rPr>
          <w:rFonts w:hint="eastAsia"/>
        </w:rPr>
        <w:t>（人民币）</w:t>
      </w:r>
      <w:r>
        <w:rPr>
          <w:rFonts w:hint="eastAsia"/>
        </w:rPr>
        <w:br w:type="textWrapping"/>
      </w:r>
    </w:p>
    <w:tbl>
      <w:tblPr>
        <w:tblStyle w:val="9"/>
        <w:tblW w:w="10162" w:type="dxa"/>
        <w:tblInd w:w="-6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715"/>
        <w:gridCol w:w="1270"/>
        <w:gridCol w:w="992"/>
        <w:gridCol w:w="5879"/>
      </w:tblGrid>
      <w:tr w14:paraId="241CDB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06" w:type="dxa"/>
            <w:tcBorders>
              <w:tl2br w:val="nil"/>
              <w:tr2bl w:val="nil"/>
            </w:tcBorders>
            <w:shd w:val="clear" w:color="auto" w:fill="BEBEBE" w:themeFill="background1" w:themeFillShade="BF"/>
            <w:vAlign w:val="center"/>
          </w:tcPr>
          <w:p w14:paraId="08A22BA1">
            <w:pPr>
              <w:widowControl w:val="0"/>
              <w:jc w:val="both"/>
            </w:pPr>
            <w:r>
              <w:rPr>
                <w:rFonts w:hint="eastAsia"/>
              </w:rPr>
              <w:t>项目</w:t>
            </w:r>
          </w:p>
        </w:tc>
        <w:tc>
          <w:tcPr>
            <w:tcW w:w="715" w:type="dxa"/>
            <w:tcBorders>
              <w:tl2br w:val="nil"/>
              <w:tr2bl w:val="nil"/>
            </w:tcBorders>
            <w:shd w:val="clear" w:color="auto" w:fill="BEBEBE" w:themeFill="background1" w:themeFillShade="BF"/>
            <w:vAlign w:val="center"/>
          </w:tcPr>
          <w:p w14:paraId="07FA98EA">
            <w:pPr>
              <w:widowControl w:val="0"/>
              <w:jc w:val="both"/>
            </w:pPr>
            <w:r>
              <w:rPr>
                <w:rFonts w:hint="eastAsia"/>
              </w:rPr>
              <w:t>税率</w:t>
            </w:r>
          </w:p>
        </w:tc>
        <w:tc>
          <w:tcPr>
            <w:tcW w:w="1270" w:type="dxa"/>
            <w:tcBorders>
              <w:tl2br w:val="nil"/>
              <w:tr2bl w:val="nil"/>
            </w:tcBorders>
            <w:shd w:val="clear" w:color="auto" w:fill="BEBEBE" w:themeFill="background1" w:themeFillShade="BF"/>
            <w:vAlign w:val="center"/>
          </w:tcPr>
          <w:p w14:paraId="5EF4C7B4">
            <w:pPr>
              <w:widowControl w:val="0"/>
              <w:jc w:val="both"/>
            </w:pPr>
            <w:r>
              <w:rPr>
                <w:rFonts w:hint="eastAsia"/>
              </w:rPr>
              <w:t>费用标准</w:t>
            </w:r>
          </w:p>
        </w:tc>
        <w:tc>
          <w:tcPr>
            <w:tcW w:w="992" w:type="dxa"/>
            <w:tcBorders>
              <w:tl2br w:val="nil"/>
              <w:tr2bl w:val="nil"/>
            </w:tcBorders>
            <w:shd w:val="clear" w:color="auto" w:fill="BEBEBE" w:themeFill="background1" w:themeFillShade="BF"/>
            <w:vAlign w:val="center"/>
          </w:tcPr>
          <w:p w14:paraId="5AF5221B">
            <w:pPr>
              <w:widowControl w:val="0"/>
              <w:jc w:val="both"/>
            </w:pPr>
            <w:r>
              <w:rPr>
                <w:rFonts w:hint="eastAsia"/>
              </w:rPr>
              <w:t>说明</w:t>
            </w:r>
          </w:p>
        </w:tc>
        <w:tc>
          <w:tcPr>
            <w:tcW w:w="5879" w:type="dxa"/>
            <w:tcBorders>
              <w:tl2br w:val="nil"/>
              <w:tr2bl w:val="nil"/>
            </w:tcBorders>
            <w:shd w:val="clear" w:color="auto" w:fill="BEBEBE" w:themeFill="background1" w:themeFillShade="BF"/>
            <w:vAlign w:val="center"/>
          </w:tcPr>
          <w:p w14:paraId="22E4E2BC">
            <w:pPr>
              <w:widowControl w:val="0"/>
              <w:jc w:val="both"/>
            </w:pPr>
            <w:r>
              <w:rPr>
                <w:rFonts w:hint="eastAsia"/>
              </w:rPr>
              <w:t>备注</w:t>
            </w:r>
          </w:p>
        </w:tc>
      </w:tr>
      <w:tr w14:paraId="2EB260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1306" w:type="dxa"/>
            <w:tcBorders>
              <w:tl2br w:val="nil"/>
              <w:tr2bl w:val="nil"/>
            </w:tcBorders>
            <w:vAlign w:val="center"/>
          </w:tcPr>
          <w:p w14:paraId="22CC8AFD">
            <w:pPr>
              <w:widowControl w:val="0"/>
              <w:jc w:val="both"/>
            </w:pPr>
            <w:r>
              <w:rPr>
                <w:rFonts w:hint="eastAsia"/>
              </w:rPr>
              <w:t>软件费用</w:t>
            </w:r>
          </w:p>
        </w:tc>
        <w:tc>
          <w:tcPr>
            <w:tcW w:w="715" w:type="dxa"/>
            <w:tcBorders>
              <w:tl2br w:val="nil"/>
              <w:tr2bl w:val="nil"/>
            </w:tcBorders>
            <w:vAlign w:val="center"/>
          </w:tcPr>
          <w:p w14:paraId="5E80DF9C">
            <w:pPr>
              <w:widowControl w:val="0"/>
              <w:jc w:val="both"/>
            </w:pPr>
            <w:r>
              <w:rPr>
                <w:rFonts w:hint="eastAsia"/>
              </w:rPr>
              <w:t>6%</w:t>
            </w:r>
          </w:p>
        </w:tc>
        <w:tc>
          <w:tcPr>
            <w:tcW w:w="1270" w:type="dxa"/>
            <w:tcBorders>
              <w:tl2br w:val="nil"/>
              <w:tr2bl w:val="nil"/>
            </w:tcBorders>
            <w:vAlign w:val="center"/>
          </w:tcPr>
          <w:p w14:paraId="4BE8F4AD">
            <w:pPr>
              <w:widowControl w:val="0"/>
              <w:jc w:val="both"/>
            </w:pPr>
            <w:r>
              <w:rPr>
                <w:rFonts w:hint="eastAsia"/>
              </w:rPr>
              <w:t>3,999</w:t>
            </w:r>
            <w:r>
              <w:t>元/</w:t>
            </w:r>
            <w:r>
              <w:rPr>
                <w:rFonts w:hint="eastAsia"/>
              </w:rPr>
              <w:t>年</w:t>
            </w:r>
          </w:p>
        </w:tc>
        <w:tc>
          <w:tcPr>
            <w:tcW w:w="992" w:type="dxa"/>
            <w:tcBorders>
              <w:tl2br w:val="nil"/>
              <w:tr2bl w:val="nil"/>
            </w:tcBorders>
            <w:vAlign w:val="center"/>
          </w:tcPr>
          <w:p w14:paraId="1E8E1E61">
            <w:pPr>
              <w:widowControl w:val="0"/>
              <w:jc w:val="both"/>
              <w:rPr>
                <w:kern w:val="2"/>
              </w:rPr>
            </w:pPr>
            <w:r>
              <w:rPr>
                <w:rFonts w:hint="eastAsia"/>
              </w:rPr>
              <w:t>按年付费</w:t>
            </w:r>
          </w:p>
        </w:tc>
        <w:tc>
          <w:tcPr>
            <w:tcW w:w="5879" w:type="dxa"/>
            <w:tcBorders>
              <w:tl2br w:val="nil"/>
              <w:tr2bl w:val="nil"/>
            </w:tcBorders>
            <w:vAlign w:val="center"/>
          </w:tcPr>
          <w:p w14:paraId="576F8E52">
            <w:pPr>
              <w:widowControl w:val="0"/>
              <w:jc w:val="both"/>
            </w:pPr>
            <w:r>
              <w:rPr>
                <w:rFonts w:hint="eastAsia"/>
              </w:rPr>
              <w:t>企业版资产管理：3999元/年</w:t>
            </w:r>
            <w:r>
              <w:rPr>
                <w:rFonts w:hint="eastAsia"/>
              </w:rPr>
              <w:br w:type="textWrapping"/>
            </w:r>
            <w:r>
              <w:rPr>
                <w:rFonts w:hint="eastAsia"/>
              </w:rPr>
              <w:t>管理员数30个以内；超出后按需购买，管理员增购价格为100元/个/年，每10个用户为最小增购单元；详细功能清参考</w:t>
            </w:r>
            <w:r>
              <w:rPr>
                <w:rFonts w:hint="eastAsia"/>
                <w:b/>
                <w:bCs/>
              </w:rPr>
              <w:t>附件二：功能清单。</w:t>
            </w:r>
            <w:r>
              <w:rPr>
                <w:rFonts w:hint="eastAsia"/>
                <w:b/>
                <w:bCs/>
              </w:rPr>
              <w:br w:type="textWrapping"/>
            </w:r>
            <w:r>
              <w:rPr>
                <w:rFonts w:hint="eastAsia"/>
                <w:b/>
                <w:bCs/>
              </w:rPr>
              <w:t>【免费包含】</w:t>
            </w:r>
            <w:r>
              <w:rPr>
                <w:rFonts w:hint="eastAsia"/>
              </w:rPr>
              <w:t>免费售后服务内容：每个企业安排一个售后老师在线指导答疑，有系统视频教程。</w:t>
            </w:r>
          </w:p>
        </w:tc>
      </w:tr>
      <w:tr w14:paraId="326F37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306" w:type="dxa"/>
            <w:tcBorders>
              <w:tl2br w:val="nil"/>
              <w:tr2bl w:val="nil"/>
            </w:tcBorders>
            <w:vAlign w:val="center"/>
          </w:tcPr>
          <w:p w14:paraId="0523F547">
            <w:pPr>
              <w:widowControl w:val="0"/>
              <w:jc w:val="both"/>
            </w:pPr>
            <w:r>
              <w:rPr>
                <w:rFonts w:hint="eastAsia"/>
              </w:rPr>
              <w:t>实施服务</w:t>
            </w:r>
          </w:p>
        </w:tc>
        <w:tc>
          <w:tcPr>
            <w:tcW w:w="715" w:type="dxa"/>
            <w:tcBorders>
              <w:tl2br w:val="nil"/>
              <w:tr2bl w:val="nil"/>
            </w:tcBorders>
            <w:vAlign w:val="center"/>
          </w:tcPr>
          <w:p w14:paraId="0025829F">
            <w:pPr>
              <w:widowControl w:val="0"/>
              <w:jc w:val="both"/>
            </w:pPr>
            <w:r>
              <w:t>6</w:t>
            </w:r>
            <w:r>
              <w:rPr>
                <w:rFonts w:hint="eastAsia"/>
              </w:rPr>
              <w:t>%</w:t>
            </w:r>
          </w:p>
        </w:tc>
        <w:tc>
          <w:tcPr>
            <w:tcW w:w="1270" w:type="dxa"/>
            <w:tcBorders>
              <w:tl2br w:val="nil"/>
              <w:tr2bl w:val="nil"/>
            </w:tcBorders>
            <w:shd w:val="clear" w:color="auto" w:fill="auto"/>
            <w:vAlign w:val="center"/>
          </w:tcPr>
          <w:p w14:paraId="6EBAD841">
            <w:pPr>
              <w:widowControl w:val="0"/>
              <w:jc w:val="both"/>
              <w:rPr>
                <w:kern w:val="2"/>
              </w:rPr>
            </w:pPr>
            <w:r>
              <w:rPr>
                <w:rFonts w:hint="eastAsia"/>
              </w:rPr>
              <w:t>/</w:t>
            </w:r>
          </w:p>
        </w:tc>
        <w:tc>
          <w:tcPr>
            <w:tcW w:w="992" w:type="dxa"/>
            <w:tcBorders>
              <w:tl2br w:val="nil"/>
              <w:tr2bl w:val="nil"/>
            </w:tcBorders>
            <w:shd w:val="clear" w:color="auto" w:fill="auto"/>
            <w:vAlign w:val="center"/>
          </w:tcPr>
          <w:p w14:paraId="1CF566C9">
            <w:pPr>
              <w:widowControl w:val="0"/>
              <w:jc w:val="both"/>
              <w:rPr>
                <w:kern w:val="2"/>
              </w:rPr>
            </w:pPr>
            <w:r>
              <w:rPr>
                <w:rFonts w:hint="eastAsia"/>
              </w:rPr>
              <w:t>暂不购买</w:t>
            </w:r>
          </w:p>
        </w:tc>
        <w:tc>
          <w:tcPr>
            <w:tcW w:w="5879" w:type="dxa"/>
            <w:tcBorders>
              <w:tl2br w:val="nil"/>
              <w:tr2bl w:val="nil"/>
            </w:tcBorders>
            <w:shd w:val="clear" w:color="auto" w:fill="auto"/>
          </w:tcPr>
          <w:p w14:paraId="326CC473">
            <w:pPr>
              <w:widowControl w:val="0"/>
              <w:jc w:val="both"/>
              <w:rPr>
                <w:kern w:val="2"/>
              </w:rPr>
            </w:pPr>
            <w:r>
              <w:rPr>
                <w:rFonts w:hint="eastAsia"/>
                <w:b/>
                <w:bCs/>
              </w:rPr>
              <w:t>【可选服务】</w:t>
            </w:r>
            <w:r>
              <w:rPr>
                <w:rFonts w:hint="eastAsia"/>
              </w:rPr>
              <w:t>付费实施服务：可安排一对一实施老师协助做业务流程梳理、帮助做系统的初始化配置和数据导入、系统培训等。</w:t>
            </w:r>
            <w:r>
              <w:rPr>
                <w:rFonts w:hint="eastAsia"/>
              </w:rPr>
              <w:br w:type="textWrapping"/>
            </w:r>
            <w:r>
              <w:rPr>
                <w:rFonts w:hint="eastAsia"/>
                <w:b/>
                <w:bCs/>
              </w:rPr>
              <w:t>实施预估：</w:t>
            </w:r>
            <w:r>
              <w:rPr>
                <w:rFonts w:hint="eastAsia"/>
                <w:b/>
                <w:bCs/>
                <w:u w:val="single"/>
              </w:rPr>
              <w:t xml:space="preserve">    </w:t>
            </w:r>
            <w:r>
              <w:rPr>
                <w:rFonts w:hint="eastAsia"/>
                <w:b/>
                <w:bCs/>
              </w:rPr>
              <w:t>人天</w:t>
            </w:r>
          </w:p>
        </w:tc>
      </w:tr>
      <w:tr w14:paraId="7BA023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306" w:type="dxa"/>
            <w:tcBorders>
              <w:tl2br w:val="nil"/>
              <w:tr2bl w:val="nil"/>
            </w:tcBorders>
            <w:vAlign w:val="center"/>
          </w:tcPr>
          <w:p w14:paraId="26078054">
            <w:pPr>
              <w:widowControl w:val="0"/>
              <w:jc w:val="both"/>
            </w:pPr>
            <w:r>
              <w:rPr>
                <w:rFonts w:hint="eastAsia"/>
              </w:rPr>
              <w:t>开发服务</w:t>
            </w:r>
          </w:p>
        </w:tc>
        <w:tc>
          <w:tcPr>
            <w:tcW w:w="715" w:type="dxa"/>
            <w:tcBorders>
              <w:tl2br w:val="nil"/>
              <w:tr2bl w:val="nil"/>
            </w:tcBorders>
            <w:vAlign w:val="center"/>
          </w:tcPr>
          <w:p w14:paraId="07212CDD">
            <w:pPr>
              <w:widowControl w:val="0"/>
              <w:jc w:val="both"/>
            </w:pPr>
            <w:r>
              <w:t>6</w:t>
            </w:r>
            <w:r>
              <w:rPr>
                <w:rFonts w:hint="eastAsia"/>
              </w:rPr>
              <w:t>%</w:t>
            </w:r>
          </w:p>
        </w:tc>
        <w:tc>
          <w:tcPr>
            <w:tcW w:w="1270" w:type="dxa"/>
            <w:tcBorders>
              <w:tl2br w:val="nil"/>
              <w:tr2bl w:val="nil"/>
            </w:tcBorders>
            <w:vAlign w:val="center"/>
          </w:tcPr>
          <w:p w14:paraId="2700F6C9">
            <w:pPr>
              <w:widowControl w:val="0"/>
              <w:jc w:val="both"/>
            </w:pPr>
            <w:r>
              <w:rPr>
                <w:rFonts w:hint="eastAsia"/>
              </w:rPr>
              <w:t>/</w:t>
            </w:r>
          </w:p>
        </w:tc>
        <w:tc>
          <w:tcPr>
            <w:tcW w:w="992" w:type="dxa"/>
            <w:tcBorders>
              <w:tl2br w:val="nil"/>
              <w:tr2bl w:val="nil"/>
            </w:tcBorders>
            <w:vAlign w:val="center"/>
          </w:tcPr>
          <w:p w14:paraId="60545223">
            <w:pPr>
              <w:widowControl w:val="0"/>
              <w:jc w:val="both"/>
              <w:rPr>
                <w:kern w:val="2"/>
              </w:rPr>
            </w:pPr>
            <w:r>
              <w:rPr>
                <w:rFonts w:hint="eastAsia"/>
              </w:rPr>
              <w:t>暂不购买</w:t>
            </w:r>
          </w:p>
        </w:tc>
        <w:tc>
          <w:tcPr>
            <w:tcW w:w="5879" w:type="dxa"/>
            <w:tcBorders>
              <w:tl2br w:val="nil"/>
              <w:tr2bl w:val="nil"/>
            </w:tcBorders>
          </w:tcPr>
          <w:p w14:paraId="676C99A6">
            <w:pPr>
              <w:widowControl w:val="0"/>
              <w:jc w:val="both"/>
            </w:pPr>
            <w:r>
              <w:rPr>
                <w:rFonts w:hint="eastAsia"/>
              </w:rPr>
              <w:t>视情况购买；是否需要给您对接其他系统。</w:t>
            </w:r>
          </w:p>
          <w:p w14:paraId="44577ECC">
            <w:pPr>
              <w:widowControl w:val="0"/>
              <w:jc w:val="both"/>
              <w:rPr>
                <w:rFonts w:ascii="宋体" w:hAnsi="宋体" w:eastAsia="宋体" w:cs="宋体"/>
                <w:kern w:val="2"/>
              </w:rPr>
            </w:pPr>
            <w:r>
              <w:rPr>
                <w:rFonts w:hint="eastAsia"/>
              </w:rPr>
              <w:t>如涉及系统对接，须自备服务器或向易点易动租用。</w:t>
            </w:r>
          </w:p>
        </w:tc>
      </w:tr>
      <w:tr w14:paraId="3EDB5E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90" w:hRule="atLeast"/>
        </w:trPr>
        <w:tc>
          <w:tcPr>
            <w:tcW w:w="1306" w:type="dxa"/>
            <w:tcBorders>
              <w:tl2br w:val="nil"/>
              <w:tr2bl w:val="nil"/>
            </w:tcBorders>
            <w:vAlign w:val="center"/>
          </w:tcPr>
          <w:p w14:paraId="2B8AA895">
            <w:pPr>
              <w:widowControl w:val="0"/>
              <w:jc w:val="both"/>
            </w:pPr>
            <w:r>
              <w:rPr>
                <w:rFonts w:hint="eastAsia"/>
              </w:rPr>
              <w:t>硬件费用</w:t>
            </w:r>
          </w:p>
        </w:tc>
        <w:tc>
          <w:tcPr>
            <w:tcW w:w="715" w:type="dxa"/>
            <w:tcBorders>
              <w:tl2br w:val="nil"/>
              <w:tr2bl w:val="nil"/>
            </w:tcBorders>
            <w:vAlign w:val="center"/>
          </w:tcPr>
          <w:p w14:paraId="357DF248">
            <w:pPr>
              <w:widowControl w:val="0"/>
              <w:jc w:val="both"/>
            </w:pPr>
            <w:r>
              <w:rPr>
                <w:rFonts w:hint="eastAsia"/>
              </w:rPr>
              <w:t>1</w:t>
            </w:r>
            <w:r>
              <w:t>3</w:t>
            </w:r>
            <w:r>
              <w:rPr>
                <w:rFonts w:hint="eastAsia"/>
              </w:rPr>
              <w:t>%</w:t>
            </w:r>
          </w:p>
        </w:tc>
        <w:tc>
          <w:tcPr>
            <w:tcW w:w="1270" w:type="dxa"/>
            <w:tcBorders>
              <w:tl2br w:val="nil"/>
              <w:tr2bl w:val="nil"/>
            </w:tcBorders>
            <w:vAlign w:val="center"/>
          </w:tcPr>
          <w:p w14:paraId="12A29419">
            <w:pPr>
              <w:widowControl w:val="0"/>
              <w:jc w:val="both"/>
            </w:pPr>
            <w:r>
              <w:rPr>
                <w:rFonts w:hint="eastAsia"/>
              </w:rPr>
              <w:t>2,400元</w:t>
            </w:r>
          </w:p>
        </w:tc>
        <w:tc>
          <w:tcPr>
            <w:tcW w:w="992" w:type="dxa"/>
            <w:tcBorders>
              <w:tl2br w:val="nil"/>
              <w:tr2bl w:val="nil"/>
            </w:tcBorders>
            <w:vAlign w:val="center"/>
          </w:tcPr>
          <w:p w14:paraId="18AD9E72">
            <w:pPr>
              <w:widowControl w:val="0"/>
              <w:jc w:val="both"/>
              <w:rPr>
                <w:kern w:val="2"/>
              </w:rPr>
            </w:pPr>
            <w:r>
              <w:rPr>
                <w:rFonts w:hint="eastAsia"/>
              </w:rPr>
              <w:t>按需购买</w:t>
            </w:r>
          </w:p>
        </w:tc>
        <w:tc>
          <w:tcPr>
            <w:tcW w:w="5879" w:type="dxa"/>
            <w:tcBorders>
              <w:tl2br w:val="nil"/>
              <w:tr2bl w:val="nil"/>
            </w:tcBorders>
            <w:vAlign w:val="center"/>
          </w:tcPr>
          <w:p w14:paraId="1F3C0902">
            <w:pPr>
              <w:widowControl w:val="0"/>
              <w:jc w:val="both"/>
            </w:pPr>
            <w:r>
              <w:rPr>
                <w:rFonts w:hint="eastAsia"/>
              </w:rPr>
              <w:t>硬件明细：</w:t>
            </w:r>
            <w:r>
              <w:rPr>
                <w:rFonts w:hint="eastAsia"/>
              </w:rPr>
              <w:br w:type="textWrapping"/>
            </w:r>
            <w:r>
              <w:rPr>
                <w:rFonts w:hint="eastAsia"/>
              </w:rPr>
              <w:t>斑马ZD888T标签打印机*1台：2000元</w:t>
            </w:r>
          </w:p>
          <w:p w14:paraId="5F4362E4">
            <w:pPr>
              <w:widowControl w:val="0"/>
              <w:jc w:val="both"/>
            </w:pPr>
            <w:r>
              <w:rPr>
                <w:rFonts w:hint="eastAsia"/>
              </w:rPr>
              <w:t>普通标签打印纸*2卷：200元（1000个标签/卷）</w:t>
            </w:r>
          </w:p>
          <w:p w14:paraId="11B183A6">
            <w:pPr>
              <w:widowControl w:val="0"/>
              <w:jc w:val="both"/>
              <w:rPr>
                <w:kern w:val="2"/>
              </w:rPr>
            </w:pPr>
            <w:r>
              <w:rPr>
                <w:rFonts w:hint="eastAsia"/>
              </w:rPr>
              <w:t>普通打印机碳带*2卷：200元</w:t>
            </w:r>
          </w:p>
        </w:tc>
      </w:tr>
      <w:tr w14:paraId="200078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57" w:hRule="atLeast"/>
        </w:trPr>
        <w:tc>
          <w:tcPr>
            <w:tcW w:w="1306" w:type="dxa"/>
            <w:tcBorders>
              <w:tl2br w:val="nil"/>
              <w:tr2bl w:val="nil"/>
            </w:tcBorders>
            <w:vAlign w:val="center"/>
          </w:tcPr>
          <w:p w14:paraId="74732D95">
            <w:pPr>
              <w:widowControl w:val="0"/>
              <w:jc w:val="both"/>
            </w:pPr>
            <w:r>
              <w:rPr>
                <w:rFonts w:hint="eastAsia"/>
              </w:rPr>
              <w:t>其他费用</w:t>
            </w:r>
          </w:p>
        </w:tc>
        <w:tc>
          <w:tcPr>
            <w:tcW w:w="715" w:type="dxa"/>
            <w:tcBorders>
              <w:tl2br w:val="nil"/>
              <w:tr2bl w:val="nil"/>
            </w:tcBorders>
            <w:vAlign w:val="center"/>
          </w:tcPr>
          <w:p w14:paraId="421D6248">
            <w:pPr>
              <w:widowControl w:val="0"/>
              <w:jc w:val="both"/>
            </w:pPr>
            <w:r>
              <w:rPr>
                <w:rFonts w:hint="eastAsia"/>
              </w:rPr>
              <w:t>6%</w:t>
            </w:r>
          </w:p>
        </w:tc>
        <w:tc>
          <w:tcPr>
            <w:tcW w:w="1270" w:type="dxa"/>
            <w:tcBorders>
              <w:tl2br w:val="nil"/>
              <w:tr2bl w:val="nil"/>
            </w:tcBorders>
            <w:vAlign w:val="center"/>
          </w:tcPr>
          <w:p w14:paraId="38731CE4">
            <w:pPr>
              <w:widowControl w:val="0"/>
              <w:jc w:val="both"/>
            </w:pPr>
            <w:r>
              <w:rPr>
                <w:rFonts w:hint="eastAsia"/>
              </w:rPr>
              <w:t>/</w:t>
            </w:r>
          </w:p>
        </w:tc>
        <w:tc>
          <w:tcPr>
            <w:tcW w:w="992" w:type="dxa"/>
            <w:tcBorders>
              <w:tl2br w:val="nil"/>
              <w:tr2bl w:val="nil"/>
            </w:tcBorders>
            <w:vAlign w:val="center"/>
          </w:tcPr>
          <w:p w14:paraId="4B565230">
            <w:pPr>
              <w:widowControl w:val="0"/>
              <w:jc w:val="both"/>
            </w:pPr>
            <w:r>
              <w:rPr>
                <w:rFonts w:hint="eastAsia"/>
              </w:rPr>
              <w:t>按需购买</w:t>
            </w:r>
          </w:p>
        </w:tc>
        <w:tc>
          <w:tcPr>
            <w:tcW w:w="5879" w:type="dxa"/>
            <w:tcBorders>
              <w:tl2br w:val="nil"/>
              <w:tr2bl w:val="nil"/>
            </w:tcBorders>
            <w:vAlign w:val="center"/>
          </w:tcPr>
          <w:p w14:paraId="73EE447D">
            <w:pPr>
              <w:widowControl w:val="0"/>
              <w:jc w:val="both"/>
              <w:rPr>
                <w:b/>
                <w:bCs/>
              </w:rPr>
            </w:pPr>
            <w:r>
              <w:rPr>
                <w:rFonts w:hint="eastAsia"/>
              </w:rPr>
              <w:t>1.默认赠送500条短信、500封邮件、5G附件上传量，超出后按需购买。附件上传量如需增购，按125元/5G/年增购即可。</w:t>
            </w:r>
            <w:r>
              <w:rPr>
                <w:rFonts w:hint="eastAsia"/>
              </w:rPr>
              <w:br w:type="textWrapping"/>
            </w:r>
            <w:r>
              <w:rPr>
                <w:rFonts w:hint="eastAsia"/>
              </w:rPr>
              <w:t>2. 如集成企业微信，需购买企微接口许可账号（从企微工作台登录的人数）。</w:t>
            </w:r>
          </w:p>
        </w:tc>
      </w:tr>
      <w:tr w14:paraId="623F1F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2021" w:type="dxa"/>
            <w:gridSpan w:val="2"/>
            <w:tcBorders>
              <w:tl2br w:val="nil"/>
              <w:tr2bl w:val="nil"/>
            </w:tcBorders>
            <w:vAlign w:val="center"/>
          </w:tcPr>
          <w:p w14:paraId="7916878D">
            <w:pPr>
              <w:widowControl w:val="0"/>
              <w:jc w:val="both"/>
            </w:pPr>
            <w:r>
              <w:rPr>
                <w:rFonts w:hint="eastAsia"/>
              </w:rPr>
              <w:t>费用合计</w:t>
            </w:r>
          </w:p>
        </w:tc>
        <w:tc>
          <w:tcPr>
            <w:tcW w:w="1270" w:type="dxa"/>
            <w:tcBorders>
              <w:tl2br w:val="nil"/>
              <w:tr2bl w:val="nil"/>
            </w:tcBorders>
            <w:vAlign w:val="center"/>
          </w:tcPr>
          <w:p w14:paraId="0DD7FCC2">
            <w:pPr>
              <w:widowControl w:val="0"/>
              <w:jc w:val="both"/>
            </w:pPr>
            <w:r>
              <w:rPr>
                <w:rFonts w:hint="eastAsia"/>
              </w:rPr>
              <w:t>6,399元</w:t>
            </w:r>
          </w:p>
          <w:p w14:paraId="293148D6">
            <w:pPr>
              <w:widowControl w:val="0"/>
              <w:jc w:val="both"/>
            </w:pPr>
            <w:r>
              <w:rPr>
                <w:rFonts w:hint="eastAsia"/>
              </w:rPr>
              <w:t>（含税）</w:t>
            </w:r>
          </w:p>
        </w:tc>
        <w:tc>
          <w:tcPr>
            <w:tcW w:w="6871" w:type="dxa"/>
            <w:gridSpan w:val="2"/>
            <w:tcBorders>
              <w:tl2br w:val="nil"/>
              <w:tr2bl w:val="nil"/>
            </w:tcBorders>
            <w:vAlign w:val="center"/>
          </w:tcPr>
          <w:p w14:paraId="409691E8">
            <w:pPr>
              <w:widowControl w:val="0"/>
              <w:jc w:val="both"/>
            </w:pPr>
          </w:p>
        </w:tc>
      </w:tr>
    </w:tbl>
    <w:p w14:paraId="4F37E21C">
      <w:r>
        <w:rPr>
          <w:rFonts w:hint="eastAsia"/>
        </w:rPr>
        <w:br w:type="textWrapping"/>
      </w:r>
      <w:r>
        <w:rPr>
          <w:rFonts w:hint="eastAsia"/>
        </w:rPr>
        <w:t>2．合同期内升级标准</w:t>
      </w:r>
    </w:p>
    <w:p w14:paraId="263C6445">
      <w:r>
        <w:rPr>
          <w:rFonts w:hint="eastAsia"/>
        </w:rPr>
        <w:t>不足一年的部分按剩余服务时间计算。</w:t>
      </w:r>
    </w:p>
    <w:p w14:paraId="572C68A8">
      <w:pPr>
        <w:rPr>
          <w:rFonts w:ascii="Tahoma" w:hAnsi="Tahoma" w:cs="Tahoma"/>
        </w:rPr>
      </w:pPr>
      <w:r>
        <w:rPr>
          <w:rFonts w:ascii="Tahoma" w:hAnsi="Tahoma" w:eastAsia="Times New Roman" w:cs="Tahoma"/>
        </w:rPr>
        <w:t xml:space="preserve">3. </w:t>
      </w:r>
      <w:r>
        <w:rPr>
          <w:rFonts w:hint="eastAsia"/>
        </w:rPr>
        <w:t>付款方式和发票</w:t>
      </w:r>
      <w:r>
        <w:rPr>
          <w:rFonts w:ascii="Tahoma" w:hAnsi="Tahoma" w:eastAsia="Times New Roman" w:cs="Tahoma"/>
        </w:rPr>
        <w:br w:type="textWrapping"/>
      </w:r>
      <w:bookmarkStart w:id="2" w:name="_Hlk186460387"/>
      <w:r>
        <w:rPr>
          <w:rFonts w:hint="eastAsia"/>
        </w:rPr>
        <w:t>　　</w:t>
      </w:r>
      <w:r>
        <w:rPr>
          <w:rFonts w:ascii="Tahoma" w:hAnsi="Tahoma" w:eastAsia="Times New Roman" w:cs="Tahoma"/>
        </w:rPr>
        <w:t xml:space="preserve">a) </w:t>
      </w:r>
      <w:r>
        <w:rPr>
          <w:rFonts w:hint="eastAsia"/>
        </w:rPr>
        <w:t>付款时间：合同签订后5个工作日内；</w:t>
      </w:r>
    </w:p>
    <w:p w14:paraId="28DEB01E">
      <w:pPr>
        <w:rPr>
          <w:rFonts w:ascii="Tahoma" w:hAnsi="Tahoma" w:cs="Tahoma"/>
        </w:rPr>
      </w:pPr>
      <w:r>
        <w:rPr>
          <w:rFonts w:ascii="Tahoma" w:hAnsi="Tahoma" w:eastAsia="Times New Roman" w:cs="Tahoma"/>
        </w:rPr>
        <w:t>b)</w:t>
      </w:r>
      <w:r>
        <w:rPr>
          <w:rFonts w:hint="eastAsia"/>
        </w:rPr>
        <w:t>付款方式：转账汇款（</w:t>
      </w:r>
      <w:r>
        <w:t>收到</w:t>
      </w:r>
      <w:r>
        <w:rPr>
          <w:rFonts w:hint="eastAsia"/>
        </w:rPr>
        <w:t>甲方付款后5个工作日</w:t>
      </w:r>
      <w:r>
        <w:t>内</w:t>
      </w:r>
      <w:r>
        <w:rPr>
          <w:rFonts w:hint="eastAsia"/>
        </w:rPr>
        <w:t>开具发票）。</w:t>
      </w:r>
      <w:r>
        <w:rPr>
          <w:rFonts w:ascii="Tahoma" w:hAnsi="Tahoma" w:eastAsia="Times New Roman" w:cs="Tahoma"/>
        </w:rPr>
        <w:br w:type="textWrapping"/>
      </w:r>
      <w:r>
        <w:rPr>
          <w:rFonts w:hint="eastAsia"/>
        </w:rPr>
        <w:t>　　</w:t>
      </w:r>
      <w:r>
        <w:rPr>
          <w:rFonts w:hint="eastAsia" w:ascii="Tahoma" w:hAnsi="Tahoma" w:eastAsia="Times New Roman" w:cs="Tahoma"/>
        </w:rPr>
        <w:t>c</w:t>
      </w:r>
      <w:r>
        <w:rPr>
          <w:rFonts w:ascii="Tahoma" w:hAnsi="Tahoma" w:eastAsia="Times New Roman" w:cs="Tahoma"/>
        </w:rPr>
        <w:t xml:space="preserve">) </w:t>
      </w:r>
      <w:r>
        <w:rPr>
          <w:rFonts w:hint="eastAsia" w:ascii="Tahoma" w:hAnsi="Tahoma" w:cs="Tahoma"/>
        </w:rPr>
        <w:t>发票</w:t>
      </w:r>
      <w:r>
        <w:rPr>
          <w:rFonts w:hint="eastAsia"/>
        </w:rPr>
        <w:t>：增值税专用发票，税点6%，内容“技术服务费”</w:t>
      </w:r>
      <w:bookmarkEnd w:id="2"/>
      <w:r>
        <w:rPr>
          <w:rFonts w:ascii="Tahoma" w:hAnsi="Tahoma" w:eastAsia="Times New Roman" w:cs="Tahoma"/>
        </w:rPr>
        <w:br w:type="textWrapping"/>
      </w:r>
    </w:p>
    <w:p w14:paraId="17EB365B">
      <w:r>
        <w:t>4</w:t>
      </w:r>
      <w:r>
        <w:rPr>
          <w:rFonts w:hint="eastAsia" w:asciiTheme="minorEastAsia" w:hAnsiTheme="minorEastAsia"/>
        </w:rPr>
        <w:t>．</w:t>
      </w:r>
      <w:r>
        <w:t xml:space="preserve"> </w:t>
      </w:r>
      <w:r>
        <w:rPr>
          <w:rFonts w:hint="eastAsia" w:ascii="宋体" w:hAnsi="宋体" w:eastAsia="宋体" w:cs="宋体"/>
        </w:rPr>
        <w:t>乙方银行账号</w:t>
      </w:r>
      <w:r>
        <w:br w:type="textWrapping"/>
      </w:r>
      <w:r>
        <w:rPr>
          <w:rFonts w:hint="eastAsia"/>
        </w:rPr>
        <w:t>对公帐户：北京易点易动科技有限公司</w:t>
      </w:r>
    </w:p>
    <w:p w14:paraId="60E21C32">
      <w:r>
        <w:rPr>
          <w:rFonts w:hint="eastAsia"/>
        </w:rPr>
        <w:t>账户：0200 3001 1910 0090 601</w:t>
      </w:r>
    </w:p>
    <w:p w14:paraId="1EAC200A">
      <w:r>
        <w:rPr>
          <w:rFonts w:hint="eastAsia"/>
        </w:rPr>
        <w:t>银行代码：102100017005</w:t>
      </w:r>
    </w:p>
    <w:p w14:paraId="4E476321">
      <w:r>
        <w:rPr>
          <w:rFonts w:hint="eastAsia"/>
        </w:rPr>
        <w:t>开户行：中国工商银行股份有限公司北京荣华中路支行</w:t>
      </w:r>
    </w:p>
    <w:p w14:paraId="2A7EB2CF"/>
    <w:p w14:paraId="3B1CECE5"/>
    <w:p w14:paraId="0041139C"/>
    <w:p w14:paraId="1199F682"/>
    <w:p w14:paraId="3BBD2CF2"/>
    <w:p w14:paraId="23C7A72B"/>
    <w:p w14:paraId="70DA0C57"/>
    <w:p w14:paraId="7AA66C6F"/>
    <w:p w14:paraId="634D555F"/>
    <w:p w14:paraId="7F89C990"/>
    <w:p w14:paraId="4FED7359"/>
    <w:p w14:paraId="5645321B"/>
    <w:p w14:paraId="4EDB8658"/>
    <w:p w14:paraId="3912AFE9">
      <w:r>
        <w:rPr>
          <w:rFonts w:hint="eastAsia"/>
        </w:rPr>
        <w:t>附件二：功能清单</w:t>
      </w:r>
    </w:p>
    <w:tbl>
      <w:tblPr>
        <w:tblStyle w:val="8"/>
        <w:tblW w:w="10171" w:type="dxa"/>
        <w:tblInd w:w="-17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359"/>
        <w:gridCol w:w="1466"/>
        <w:gridCol w:w="5870"/>
      </w:tblGrid>
      <w:tr w14:paraId="49DC47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0171" w:type="dxa"/>
            <w:gridSpan w:val="4"/>
            <w:tcBorders>
              <w:tl2br w:val="nil"/>
              <w:tr2bl w:val="nil"/>
            </w:tcBorders>
            <w:shd w:val="clear" w:color="000000" w:fill="D9D9D9"/>
            <w:noWrap/>
            <w:vAlign w:val="center"/>
          </w:tcPr>
          <w:p w14:paraId="0F79C512">
            <w:r>
              <w:rPr>
                <w:rFonts w:hint="eastAsia"/>
              </w:rPr>
              <w:t>软件功能清单</w:t>
            </w:r>
          </w:p>
        </w:tc>
      </w:tr>
      <w:tr w14:paraId="32C951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301" w:type="dxa"/>
            <w:gridSpan w:val="3"/>
            <w:tcBorders>
              <w:tl2br w:val="nil"/>
              <w:tr2bl w:val="nil"/>
            </w:tcBorders>
            <w:shd w:val="clear" w:color="000000" w:fill="D9D9D9"/>
            <w:noWrap/>
            <w:vAlign w:val="center"/>
          </w:tcPr>
          <w:p w14:paraId="1A313491">
            <w:r>
              <w:rPr>
                <w:rFonts w:hint="eastAsia"/>
              </w:rPr>
              <w:t>菜单</w:t>
            </w:r>
          </w:p>
        </w:tc>
        <w:tc>
          <w:tcPr>
            <w:tcW w:w="5870" w:type="dxa"/>
            <w:tcBorders>
              <w:tl2br w:val="nil"/>
              <w:tr2bl w:val="nil"/>
            </w:tcBorders>
            <w:shd w:val="clear" w:color="000000" w:fill="D9D9D9"/>
            <w:noWrap/>
            <w:vAlign w:val="center"/>
          </w:tcPr>
          <w:p w14:paraId="32439023">
            <w:r>
              <w:rPr>
                <w:rFonts w:hint="eastAsia"/>
              </w:rPr>
              <w:t>功能</w:t>
            </w:r>
          </w:p>
        </w:tc>
      </w:tr>
      <w:tr w14:paraId="086AED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restart"/>
            <w:tcBorders>
              <w:tl2br w:val="nil"/>
              <w:tr2bl w:val="nil"/>
            </w:tcBorders>
            <w:shd w:val="clear" w:color="auto" w:fill="auto"/>
            <w:vAlign w:val="center"/>
          </w:tcPr>
          <w:p w14:paraId="6B92520F">
            <w:r>
              <w:rPr>
                <w:rFonts w:hint="eastAsia"/>
              </w:rPr>
              <w:t>资产管理</w:t>
            </w:r>
          </w:p>
        </w:tc>
        <w:tc>
          <w:tcPr>
            <w:tcW w:w="2825" w:type="dxa"/>
            <w:gridSpan w:val="2"/>
            <w:tcBorders>
              <w:tl2br w:val="nil"/>
              <w:tr2bl w:val="nil"/>
            </w:tcBorders>
            <w:shd w:val="clear" w:color="auto" w:fill="auto"/>
            <w:vAlign w:val="center"/>
          </w:tcPr>
          <w:p w14:paraId="22324A79">
            <w:r>
              <w:rPr>
                <w:rFonts w:hint="eastAsia"/>
              </w:rPr>
              <w:t>资产入库</w:t>
            </w:r>
          </w:p>
        </w:tc>
        <w:tc>
          <w:tcPr>
            <w:tcW w:w="5870" w:type="dxa"/>
            <w:tcBorders>
              <w:tl2br w:val="nil"/>
              <w:tr2bl w:val="nil"/>
            </w:tcBorders>
            <w:shd w:val="clear" w:color="auto" w:fill="auto"/>
            <w:vAlign w:val="center"/>
          </w:tcPr>
          <w:p w14:paraId="54D29C0E">
            <w:r>
              <w:rPr>
                <w:rFonts w:hint="eastAsia"/>
              </w:rPr>
              <w:t>创建资产卡片，查询资产，查看资产处理记录，打印资产标签等等</w:t>
            </w:r>
          </w:p>
        </w:tc>
      </w:tr>
      <w:tr w14:paraId="633433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70844C17"/>
        </w:tc>
        <w:tc>
          <w:tcPr>
            <w:tcW w:w="2825" w:type="dxa"/>
            <w:gridSpan w:val="2"/>
            <w:tcBorders>
              <w:tl2br w:val="nil"/>
              <w:tr2bl w:val="nil"/>
            </w:tcBorders>
            <w:shd w:val="clear" w:color="auto" w:fill="auto"/>
            <w:vAlign w:val="center"/>
          </w:tcPr>
          <w:p w14:paraId="772C9F91">
            <w:r>
              <w:rPr>
                <w:rFonts w:hint="eastAsia"/>
              </w:rPr>
              <w:t>领用退库</w:t>
            </w:r>
          </w:p>
        </w:tc>
        <w:tc>
          <w:tcPr>
            <w:tcW w:w="5870" w:type="dxa"/>
            <w:tcBorders>
              <w:tl2br w:val="nil"/>
              <w:tr2bl w:val="nil"/>
            </w:tcBorders>
            <w:shd w:val="clear" w:color="auto" w:fill="auto"/>
            <w:vAlign w:val="center"/>
          </w:tcPr>
          <w:p w14:paraId="7D0B1988">
            <w:r>
              <w:rPr>
                <w:rFonts w:hint="eastAsia"/>
              </w:rPr>
              <w:t>创建资产领用单、资产退库单</w:t>
            </w:r>
          </w:p>
        </w:tc>
      </w:tr>
      <w:tr w14:paraId="625992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3FE4A12F"/>
        </w:tc>
        <w:tc>
          <w:tcPr>
            <w:tcW w:w="2825" w:type="dxa"/>
            <w:gridSpan w:val="2"/>
            <w:tcBorders>
              <w:tl2br w:val="nil"/>
              <w:tr2bl w:val="nil"/>
            </w:tcBorders>
            <w:shd w:val="clear" w:color="auto" w:fill="auto"/>
            <w:vAlign w:val="center"/>
          </w:tcPr>
          <w:p w14:paraId="567A5456">
            <w:r>
              <w:rPr>
                <w:rFonts w:hint="eastAsia"/>
              </w:rPr>
              <w:t>借用归还</w:t>
            </w:r>
          </w:p>
        </w:tc>
        <w:tc>
          <w:tcPr>
            <w:tcW w:w="5870" w:type="dxa"/>
            <w:tcBorders>
              <w:tl2br w:val="nil"/>
              <w:tr2bl w:val="nil"/>
            </w:tcBorders>
            <w:shd w:val="clear" w:color="auto" w:fill="auto"/>
            <w:vAlign w:val="center"/>
          </w:tcPr>
          <w:p w14:paraId="12452CBE">
            <w:r>
              <w:rPr>
                <w:rFonts w:hint="eastAsia"/>
              </w:rPr>
              <w:t>创建资产借用单，归还资产</w:t>
            </w:r>
          </w:p>
        </w:tc>
      </w:tr>
      <w:tr w14:paraId="6B796D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485767E7"/>
        </w:tc>
        <w:tc>
          <w:tcPr>
            <w:tcW w:w="2825" w:type="dxa"/>
            <w:gridSpan w:val="2"/>
            <w:tcBorders>
              <w:tl2br w:val="nil"/>
              <w:tr2bl w:val="nil"/>
            </w:tcBorders>
            <w:shd w:val="clear" w:color="auto" w:fill="auto"/>
            <w:vAlign w:val="center"/>
          </w:tcPr>
          <w:p w14:paraId="15EDEF3D">
            <w:r>
              <w:rPr>
                <w:rFonts w:hint="eastAsia"/>
              </w:rPr>
              <w:t>资产调拨</w:t>
            </w:r>
          </w:p>
        </w:tc>
        <w:tc>
          <w:tcPr>
            <w:tcW w:w="5870" w:type="dxa"/>
            <w:tcBorders>
              <w:tl2br w:val="nil"/>
              <w:tr2bl w:val="nil"/>
            </w:tcBorders>
            <w:shd w:val="clear" w:color="auto" w:fill="auto"/>
            <w:vAlign w:val="center"/>
          </w:tcPr>
          <w:p w14:paraId="76F89A43">
            <w:r>
              <w:rPr>
                <w:rFonts w:hint="eastAsia"/>
              </w:rPr>
              <w:t>跨公司、跨管理用户之间资产调动，需调入管理用户确认才可生效</w:t>
            </w:r>
          </w:p>
        </w:tc>
      </w:tr>
      <w:tr w14:paraId="4AB0E7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2E1BC6D3"/>
        </w:tc>
        <w:tc>
          <w:tcPr>
            <w:tcW w:w="2825" w:type="dxa"/>
            <w:gridSpan w:val="2"/>
            <w:tcBorders>
              <w:tl2br w:val="nil"/>
              <w:tr2bl w:val="nil"/>
            </w:tcBorders>
            <w:shd w:val="clear" w:color="auto" w:fill="auto"/>
            <w:vAlign w:val="center"/>
          </w:tcPr>
          <w:p w14:paraId="46F53967">
            <w:r>
              <w:rPr>
                <w:rFonts w:hint="eastAsia"/>
              </w:rPr>
              <w:t>实物信息变更</w:t>
            </w:r>
          </w:p>
        </w:tc>
        <w:tc>
          <w:tcPr>
            <w:tcW w:w="5870" w:type="dxa"/>
            <w:tcBorders>
              <w:tl2br w:val="nil"/>
              <w:tr2bl w:val="nil"/>
            </w:tcBorders>
            <w:shd w:val="clear" w:color="auto" w:fill="auto"/>
            <w:vAlign w:val="center"/>
          </w:tcPr>
          <w:p w14:paraId="070AEFE6">
            <w:r>
              <w:rPr>
                <w:rFonts w:hint="eastAsia"/>
              </w:rPr>
              <w:t>资产实物信息变更</w:t>
            </w:r>
          </w:p>
        </w:tc>
      </w:tr>
      <w:tr w14:paraId="42CEC0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342DE3E7"/>
        </w:tc>
        <w:tc>
          <w:tcPr>
            <w:tcW w:w="2825" w:type="dxa"/>
            <w:gridSpan w:val="2"/>
            <w:tcBorders>
              <w:tl2br w:val="nil"/>
              <w:tr2bl w:val="nil"/>
            </w:tcBorders>
            <w:shd w:val="clear" w:color="auto" w:fill="auto"/>
            <w:vAlign w:val="center"/>
          </w:tcPr>
          <w:p w14:paraId="220E2A80">
            <w:r>
              <w:rPr>
                <w:rFonts w:hint="eastAsia"/>
              </w:rPr>
              <w:t>附属资产管理</w:t>
            </w:r>
          </w:p>
        </w:tc>
        <w:tc>
          <w:tcPr>
            <w:tcW w:w="5870" w:type="dxa"/>
            <w:tcBorders>
              <w:tl2br w:val="nil"/>
              <w:tr2bl w:val="nil"/>
            </w:tcBorders>
            <w:shd w:val="clear" w:color="auto" w:fill="auto"/>
            <w:vAlign w:val="center"/>
          </w:tcPr>
          <w:p w14:paraId="32AF383D">
            <w:r>
              <w:rPr>
                <w:rFonts w:hint="eastAsia"/>
              </w:rPr>
              <w:t>增加或减少资产所拥有的附属资产，附属资产在设备台账中作为独立资产存在，拥有独立的资产编号、名称、分类等资产属性，但在使用时，作为其他资产的附属存在，不独立使用</w:t>
            </w:r>
          </w:p>
        </w:tc>
      </w:tr>
      <w:tr w14:paraId="53810C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3610D9E8"/>
        </w:tc>
        <w:tc>
          <w:tcPr>
            <w:tcW w:w="2825" w:type="dxa"/>
            <w:gridSpan w:val="2"/>
            <w:tcBorders>
              <w:tl2br w:val="nil"/>
              <w:tr2bl w:val="nil"/>
            </w:tcBorders>
            <w:shd w:val="clear" w:color="auto" w:fill="auto"/>
            <w:vAlign w:val="center"/>
          </w:tcPr>
          <w:p w14:paraId="21120806">
            <w:r>
              <w:rPr>
                <w:rFonts w:hint="eastAsia"/>
              </w:rPr>
              <w:t>财务信息变更</w:t>
            </w:r>
          </w:p>
        </w:tc>
        <w:tc>
          <w:tcPr>
            <w:tcW w:w="5870" w:type="dxa"/>
            <w:tcBorders>
              <w:tl2br w:val="nil"/>
              <w:tr2bl w:val="nil"/>
            </w:tcBorders>
            <w:shd w:val="clear" w:color="auto" w:fill="auto"/>
            <w:vAlign w:val="center"/>
          </w:tcPr>
          <w:p w14:paraId="0ADD1081">
            <w:r>
              <w:rPr>
                <w:rFonts w:hint="eastAsia"/>
              </w:rPr>
              <w:t>资产财务信息变更</w:t>
            </w:r>
          </w:p>
        </w:tc>
      </w:tr>
      <w:tr w14:paraId="51CE6B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3FE9CCCE"/>
        </w:tc>
        <w:tc>
          <w:tcPr>
            <w:tcW w:w="2825" w:type="dxa"/>
            <w:gridSpan w:val="2"/>
            <w:tcBorders>
              <w:tl2br w:val="nil"/>
              <w:tr2bl w:val="nil"/>
            </w:tcBorders>
            <w:shd w:val="clear" w:color="auto" w:fill="auto"/>
            <w:vAlign w:val="center"/>
          </w:tcPr>
          <w:p w14:paraId="0BA775D5">
            <w:r>
              <w:rPr>
                <w:rFonts w:hint="eastAsia"/>
              </w:rPr>
              <w:t>维修信息登记</w:t>
            </w:r>
          </w:p>
        </w:tc>
        <w:tc>
          <w:tcPr>
            <w:tcW w:w="5870" w:type="dxa"/>
            <w:tcBorders>
              <w:tl2br w:val="nil"/>
              <w:tr2bl w:val="nil"/>
            </w:tcBorders>
            <w:shd w:val="clear" w:color="auto" w:fill="auto"/>
            <w:vAlign w:val="center"/>
          </w:tcPr>
          <w:p w14:paraId="7D4EE412">
            <w:r>
              <w:rPr>
                <w:rFonts w:hint="eastAsia"/>
              </w:rPr>
              <w:t>可以登记资产维修情况，设置资产维修状态</w:t>
            </w:r>
          </w:p>
        </w:tc>
      </w:tr>
      <w:tr w14:paraId="51ED7C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593D47B1"/>
        </w:tc>
        <w:tc>
          <w:tcPr>
            <w:tcW w:w="2825" w:type="dxa"/>
            <w:gridSpan w:val="2"/>
            <w:tcBorders>
              <w:tl2br w:val="nil"/>
              <w:tr2bl w:val="nil"/>
            </w:tcBorders>
            <w:shd w:val="clear" w:color="auto" w:fill="auto"/>
            <w:vAlign w:val="center"/>
          </w:tcPr>
          <w:p w14:paraId="5EEBAF2F">
            <w:r>
              <w:rPr>
                <w:rFonts w:hint="eastAsia"/>
              </w:rPr>
              <w:t>维保信息变更</w:t>
            </w:r>
          </w:p>
        </w:tc>
        <w:tc>
          <w:tcPr>
            <w:tcW w:w="5870" w:type="dxa"/>
            <w:tcBorders>
              <w:tl2br w:val="nil"/>
              <w:tr2bl w:val="nil"/>
            </w:tcBorders>
            <w:shd w:val="clear" w:color="auto" w:fill="auto"/>
            <w:vAlign w:val="center"/>
          </w:tcPr>
          <w:p w14:paraId="14044853">
            <w:r>
              <w:rPr>
                <w:rFonts w:hint="eastAsia"/>
              </w:rPr>
              <w:t>登记、变更资产维保信息</w:t>
            </w:r>
          </w:p>
        </w:tc>
      </w:tr>
      <w:tr w14:paraId="0C44C8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35E536F2"/>
        </w:tc>
        <w:tc>
          <w:tcPr>
            <w:tcW w:w="2825" w:type="dxa"/>
            <w:gridSpan w:val="2"/>
            <w:tcBorders>
              <w:tl2br w:val="nil"/>
              <w:tr2bl w:val="nil"/>
            </w:tcBorders>
            <w:shd w:val="clear" w:color="auto" w:fill="auto"/>
            <w:vAlign w:val="center"/>
          </w:tcPr>
          <w:p w14:paraId="1C6BAAE1">
            <w:r>
              <w:rPr>
                <w:rFonts w:hint="eastAsia"/>
              </w:rPr>
              <w:t>清理报废</w:t>
            </w:r>
          </w:p>
        </w:tc>
        <w:tc>
          <w:tcPr>
            <w:tcW w:w="5870" w:type="dxa"/>
            <w:tcBorders>
              <w:tl2br w:val="nil"/>
              <w:tr2bl w:val="nil"/>
            </w:tcBorders>
            <w:shd w:val="clear" w:color="auto" w:fill="auto"/>
            <w:vAlign w:val="center"/>
          </w:tcPr>
          <w:p w14:paraId="2CC21F0E">
            <w:r>
              <w:rPr>
                <w:rFonts w:hint="eastAsia"/>
              </w:rPr>
              <w:t>对资产进行处置，处置后不再显示在资产卡片中</w:t>
            </w:r>
          </w:p>
        </w:tc>
      </w:tr>
      <w:tr w14:paraId="77FF3A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1FCA7572"/>
        </w:tc>
        <w:tc>
          <w:tcPr>
            <w:tcW w:w="2825" w:type="dxa"/>
            <w:gridSpan w:val="2"/>
            <w:tcBorders>
              <w:tl2br w:val="nil"/>
              <w:tr2bl w:val="nil"/>
            </w:tcBorders>
            <w:shd w:val="clear" w:color="auto" w:fill="auto"/>
            <w:vAlign w:val="center"/>
          </w:tcPr>
          <w:p w14:paraId="3C76E165">
            <w:r>
              <w:rPr>
                <w:rFonts w:hint="eastAsia"/>
              </w:rPr>
              <w:t>盘点管理</w:t>
            </w:r>
          </w:p>
        </w:tc>
        <w:tc>
          <w:tcPr>
            <w:tcW w:w="5870" w:type="dxa"/>
            <w:tcBorders>
              <w:tl2br w:val="nil"/>
              <w:tr2bl w:val="nil"/>
            </w:tcBorders>
            <w:shd w:val="clear" w:color="auto" w:fill="auto"/>
            <w:vAlign w:val="center"/>
          </w:tcPr>
          <w:p w14:paraId="3C3960A2">
            <w:r>
              <w:rPr>
                <w:rFonts w:hint="eastAsia"/>
              </w:rPr>
              <w:t>根据不同条件创建资产盘点单，确认盘点结果；移动端通过app进行扫码盘点</w:t>
            </w:r>
          </w:p>
        </w:tc>
      </w:tr>
      <w:tr w14:paraId="7084D8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436275BA"/>
        </w:tc>
        <w:tc>
          <w:tcPr>
            <w:tcW w:w="1359" w:type="dxa"/>
            <w:vMerge w:val="restart"/>
            <w:tcBorders>
              <w:tl2br w:val="nil"/>
              <w:tr2bl w:val="nil"/>
            </w:tcBorders>
            <w:shd w:val="clear" w:color="auto" w:fill="auto"/>
            <w:vAlign w:val="center"/>
          </w:tcPr>
          <w:p w14:paraId="374E258B">
            <w:r>
              <w:rPr>
                <w:rFonts w:hint="eastAsia"/>
              </w:rPr>
              <w:t>分析报表</w:t>
            </w:r>
          </w:p>
        </w:tc>
        <w:tc>
          <w:tcPr>
            <w:tcW w:w="1466" w:type="dxa"/>
            <w:tcBorders>
              <w:tl2br w:val="nil"/>
              <w:tr2bl w:val="nil"/>
            </w:tcBorders>
            <w:shd w:val="clear" w:color="auto" w:fill="auto"/>
            <w:vAlign w:val="center"/>
          </w:tcPr>
          <w:p w14:paraId="729A7663">
            <w:r>
              <w:rPr>
                <w:rFonts w:hint="eastAsia"/>
              </w:rPr>
              <w:t>资产清单</w:t>
            </w:r>
          </w:p>
        </w:tc>
        <w:tc>
          <w:tcPr>
            <w:tcW w:w="5870" w:type="dxa"/>
            <w:tcBorders>
              <w:tl2br w:val="nil"/>
              <w:tr2bl w:val="nil"/>
            </w:tcBorders>
            <w:shd w:val="clear" w:color="auto" w:fill="auto"/>
            <w:vAlign w:val="center"/>
          </w:tcPr>
          <w:p w14:paraId="73C70FA2">
            <w:r>
              <w:rPr>
                <w:rFonts w:hint="eastAsia"/>
              </w:rPr>
              <w:t>资产清单报表展示企业内所有的固定资产数据，与资产入库页面展示的数据相比，资产清单也包含报废状态的资产。该报表显示的数据依赖于当前用户所拥有的数据权限</w:t>
            </w:r>
          </w:p>
        </w:tc>
      </w:tr>
      <w:tr w14:paraId="3EEBA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1A66F4E0"/>
        </w:tc>
        <w:tc>
          <w:tcPr>
            <w:tcW w:w="1359" w:type="dxa"/>
            <w:vMerge w:val="continue"/>
            <w:tcBorders>
              <w:tl2br w:val="nil"/>
              <w:tr2bl w:val="nil"/>
            </w:tcBorders>
            <w:vAlign w:val="center"/>
          </w:tcPr>
          <w:p w14:paraId="1FAB73D3"/>
        </w:tc>
        <w:tc>
          <w:tcPr>
            <w:tcW w:w="1466" w:type="dxa"/>
            <w:tcBorders>
              <w:tl2br w:val="nil"/>
              <w:tr2bl w:val="nil"/>
            </w:tcBorders>
            <w:shd w:val="clear" w:color="auto" w:fill="auto"/>
            <w:vAlign w:val="center"/>
          </w:tcPr>
          <w:p w14:paraId="0449CF74">
            <w:r>
              <w:rPr>
                <w:rFonts w:hint="eastAsia"/>
              </w:rPr>
              <w:t>资产履历</w:t>
            </w:r>
          </w:p>
        </w:tc>
        <w:tc>
          <w:tcPr>
            <w:tcW w:w="5870" w:type="dxa"/>
            <w:tcBorders>
              <w:tl2br w:val="nil"/>
              <w:tr2bl w:val="nil"/>
            </w:tcBorders>
            <w:shd w:val="clear" w:color="auto" w:fill="auto"/>
            <w:vAlign w:val="center"/>
          </w:tcPr>
          <w:p w14:paraId="260ECF63">
            <w:r>
              <w:rPr>
                <w:rFonts w:hint="eastAsia"/>
              </w:rPr>
              <w:t>资产履历报表展示企业内所有的固定资产数据（包含已报废的资产）以及资产的历史处理记录。该报表显示的数据依赖于当前用户所拥有的数据权限</w:t>
            </w:r>
          </w:p>
        </w:tc>
      </w:tr>
      <w:tr w14:paraId="4F8D9A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641762B9"/>
        </w:tc>
        <w:tc>
          <w:tcPr>
            <w:tcW w:w="1359" w:type="dxa"/>
            <w:vMerge w:val="continue"/>
            <w:tcBorders>
              <w:tl2br w:val="nil"/>
              <w:tr2bl w:val="nil"/>
            </w:tcBorders>
            <w:vAlign w:val="center"/>
          </w:tcPr>
          <w:p w14:paraId="72AE14DA"/>
        </w:tc>
        <w:tc>
          <w:tcPr>
            <w:tcW w:w="1466" w:type="dxa"/>
            <w:tcBorders>
              <w:tl2br w:val="nil"/>
              <w:tr2bl w:val="nil"/>
            </w:tcBorders>
            <w:shd w:val="clear" w:color="auto" w:fill="auto"/>
            <w:vAlign w:val="center"/>
          </w:tcPr>
          <w:p w14:paraId="01F981A7">
            <w:r>
              <w:rPr>
                <w:rFonts w:hint="eastAsia"/>
              </w:rPr>
              <w:t>资产分类汇总表</w:t>
            </w:r>
          </w:p>
        </w:tc>
        <w:tc>
          <w:tcPr>
            <w:tcW w:w="5870" w:type="dxa"/>
            <w:tcBorders>
              <w:tl2br w:val="nil"/>
              <w:tr2bl w:val="nil"/>
            </w:tcBorders>
            <w:shd w:val="clear" w:color="auto" w:fill="auto"/>
            <w:vAlign w:val="center"/>
          </w:tcPr>
          <w:p w14:paraId="1C5203F8">
            <w:r>
              <w:rPr>
                <w:rFonts w:hint="eastAsia"/>
              </w:rPr>
              <w:t>资产分类汇总报表按照公司/部门统计每个资产分类下的资产数量和金额。该报表显示的数据依赖于当前用户所拥有的数据权限</w:t>
            </w:r>
          </w:p>
        </w:tc>
      </w:tr>
      <w:tr w14:paraId="03067D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2B03B676"/>
        </w:tc>
        <w:tc>
          <w:tcPr>
            <w:tcW w:w="1359" w:type="dxa"/>
            <w:vMerge w:val="continue"/>
            <w:tcBorders>
              <w:tl2br w:val="nil"/>
              <w:tr2bl w:val="nil"/>
            </w:tcBorders>
            <w:vAlign w:val="center"/>
          </w:tcPr>
          <w:p w14:paraId="518DD00E"/>
        </w:tc>
        <w:tc>
          <w:tcPr>
            <w:tcW w:w="1466" w:type="dxa"/>
            <w:tcBorders>
              <w:tl2br w:val="nil"/>
              <w:tr2bl w:val="nil"/>
            </w:tcBorders>
            <w:shd w:val="clear" w:color="auto" w:fill="auto"/>
            <w:vAlign w:val="center"/>
          </w:tcPr>
          <w:p w14:paraId="3789E982">
            <w:r>
              <w:rPr>
                <w:rFonts w:hint="eastAsia"/>
              </w:rPr>
              <w:t>公司部门汇总表</w:t>
            </w:r>
          </w:p>
        </w:tc>
        <w:tc>
          <w:tcPr>
            <w:tcW w:w="5870" w:type="dxa"/>
            <w:tcBorders>
              <w:tl2br w:val="nil"/>
              <w:tr2bl w:val="nil"/>
            </w:tcBorders>
            <w:shd w:val="clear" w:color="auto" w:fill="auto"/>
            <w:vAlign w:val="center"/>
          </w:tcPr>
          <w:p w14:paraId="483BDD56">
            <w:r>
              <w:rPr>
                <w:rFonts w:hint="eastAsia"/>
              </w:rPr>
              <w:t>公司部门汇总报表按照资产分类统计每个公司/部门的资产数量和金额。该报表显示的数据依赖于当前用户所拥有的数据权限</w:t>
            </w:r>
          </w:p>
        </w:tc>
      </w:tr>
      <w:tr w14:paraId="44E6F7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246E8E7B"/>
        </w:tc>
        <w:tc>
          <w:tcPr>
            <w:tcW w:w="1359" w:type="dxa"/>
            <w:vMerge w:val="continue"/>
            <w:tcBorders>
              <w:tl2br w:val="nil"/>
              <w:tr2bl w:val="nil"/>
            </w:tcBorders>
            <w:vAlign w:val="center"/>
          </w:tcPr>
          <w:p w14:paraId="7AEC26C9"/>
        </w:tc>
        <w:tc>
          <w:tcPr>
            <w:tcW w:w="1466" w:type="dxa"/>
            <w:tcBorders>
              <w:tl2br w:val="nil"/>
              <w:tr2bl w:val="nil"/>
            </w:tcBorders>
            <w:shd w:val="clear" w:color="auto" w:fill="auto"/>
            <w:vAlign w:val="center"/>
          </w:tcPr>
          <w:p w14:paraId="08970638">
            <w:r>
              <w:rPr>
                <w:rFonts w:hint="eastAsia"/>
              </w:rPr>
              <w:t>分类使用情况</w:t>
            </w:r>
          </w:p>
        </w:tc>
        <w:tc>
          <w:tcPr>
            <w:tcW w:w="5870" w:type="dxa"/>
            <w:tcBorders>
              <w:tl2br w:val="nil"/>
              <w:tr2bl w:val="nil"/>
            </w:tcBorders>
            <w:shd w:val="clear" w:color="auto" w:fill="auto"/>
            <w:vAlign w:val="center"/>
          </w:tcPr>
          <w:p w14:paraId="254A4647">
            <w:r>
              <w:rPr>
                <w:rFonts w:hint="eastAsia"/>
              </w:rPr>
              <w:t>分类使用情况报表统计每个资产分类下不同状态（闲置、在用、借出、调拨中、报废等）的资产数量和明细数据，支持按照公司/部门进行筛选。该报表显示的数据依赖于当前用户所拥有的数据权限</w:t>
            </w:r>
          </w:p>
        </w:tc>
      </w:tr>
      <w:tr w14:paraId="5969D2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172D59A6"/>
        </w:tc>
        <w:tc>
          <w:tcPr>
            <w:tcW w:w="1359" w:type="dxa"/>
            <w:vMerge w:val="continue"/>
            <w:tcBorders>
              <w:tl2br w:val="nil"/>
              <w:tr2bl w:val="nil"/>
            </w:tcBorders>
            <w:vAlign w:val="center"/>
          </w:tcPr>
          <w:p w14:paraId="7CB61F4E"/>
        </w:tc>
        <w:tc>
          <w:tcPr>
            <w:tcW w:w="1466" w:type="dxa"/>
            <w:tcBorders>
              <w:tl2br w:val="nil"/>
              <w:tr2bl w:val="nil"/>
            </w:tcBorders>
            <w:shd w:val="clear" w:color="auto" w:fill="auto"/>
            <w:vAlign w:val="center"/>
          </w:tcPr>
          <w:p w14:paraId="58234BDF">
            <w:r>
              <w:rPr>
                <w:rFonts w:hint="eastAsia"/>
              </w:rPr>
              <w:t>月增加对账表</w:t>
            </w:r>
          </w:p>
        </w:tc>
        <w:tc>
          <w:tcPr>
            <w:tcW w:w="5870" w:type="dxa"/>
            <w:tcBorders>
              <w:tl2br w:val="nil"/>
              <w:tr2bl w:val="nil"/>
            </w:tcBorders>
            <w:shd w:val="clear" w:color="auto" w:fill="auto"/>
            <w:vAlign w:val="center"/>
          </w:tcPr>
          <w:p w14:paraId="4CB34B65">
            <w:r>
              <w:rPr>
                <w:rFonts w:hint="eastAsia"/>
              </w:rPr>
              <w:t>月增加对账表按照所属公司（资产购入公司）显示各月新增/购入的资产明细，用于财务对账。该报表显示的数据依赖于当前用户所拥有的数据权限</w:t>
            </w:r>
          </w:p>
        </w:tc>
      </w:tr>
      <w:tr w14:paraId="6FB540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189A83A4"/>
        </w:tc>
        <w:tc>
          <w:tcPr>
            <w:tcW w:w="1359" w:type="dxa"/>
            <w:vMerge w:val="continue"/>
            <w:tcBorders>
              <w:tl2br w:val="nil"/>
              <w:tr2bl w:val="nil"/>
            </w:tcBorders>
            <w:vAlign w:val="center"/>
          </w:tcPr>
          <w:p w14:paraId="7988FE9C"/>
        </w:tc>
        <w:tc>
          <w:tcPr>
            <w:tcW w:w="1466" w:type="dxa"/>
            <w:tcBorders>
              <w:tl2br w:val="nil"/>
              <w:tr2bl w:val="nil"/>
            </w:tcBorders>
            <w:shd w:val="clear" w:color="auto" w:fill="auto"/>
            <w:vAlign w:val="center"/>
          </w:tcPr>
          <w:p w14:paraId="088DFFD6">
            <w:r>
              <w:rPr>
                <w:rFonts w:hint="eastAsia"/>
              </w:rPr>
              <w:t>到期资产</w:t>
            </w:r>
          </w:p>
        </w:tc>
        <w:tc>
          <w:tcPr>
            <w:tcW w:w="5870" w:type="dxa"/>
            <w:tcBorders>
              <w:tl2br w:val="nil"/>
              <w:tr2bl w:val="nil"/>
            </w:tcBorders>
            <w:shd w:val="clear" w:color="auto" w:fill="auto"/>
            <w:vAlign w:val="center"/>
          </w:tcPr>
          <w:p w14:paraId="411434C1">
            <w:r>
              <w:rPr>
                <w:rFonts w:hint="eastAsia"/>
              </w:rPr>
              <w:t>到期资产报表根据选择的日期显示已到期或即将到期的资产明细。该报表显示的数据依赖于当前用户所拥有的数据权限</w:t>
            </w:r>
          </w:p>
        </w:tc>
      </w:tr>
      <w:tr w14:paraId="0CAE80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07132DF3"/>
        </w:tc>
        <w:tc>
          <w:tcPr>
            <w:tcW w:w="1359" w:type="dxa"/>
            <w:vMerge w:val="continue"/>
            <w:tcBorders>
              <w:tl2br w:val="nil"/>
              <w:tr2bl w:val="nil"/>
            </w:tcBorders>
            <w:vAlign w:val="center"/>
          </w:tcPr>
          <w:p w14:paraId="009630E0"/>
        </w:tc>
        <w:tc>
          <w:tcPr>
            <w:tcW w:w="1466" w:type="dxa"/>
            <w:tcBorders>
              <w:tl2br w:val="nil"/>
              <w:tr2bl w:val="nil"/>
            </w:tcBorders>
            <w:shd w:val="clear" w:color="auto" w:fill="auto"/>
            <w:vAlign w:val="center"/>
          </w:tcPr>
          <w:p w14:paraId="50CEAA57">
            <w:r>
              <w:rPr>
                <w:rFonts w:hint="eastAsia"/>
              </w:rPr>
              <w:t>清理清单</w:t>
            </w:r>
          </w:p>
        </w:tc>
        <w:tc>
          <w:tcPr>
            <w:tcW w:w="5870" w:type="dxa"/>
            <w:tcBorders>
              <w:tl2br w:val="nil"/>
              <w:tr2bl w:val="nil"/>
            </w:tcBorders>
            <w:shd w:val="clear" w:color="auto" w:fill="auto"/>
            <w:vAlign w:val="center"/>
          </w:tcPr>
          <w:p w14:paraId="4AC0523E">
            <w:r>
              <w:rPr>
                <w:rFonts w:hint="eastAsia"/>
              </w:rPr>
              <w:t>清理清单报表展示指定日期范围内清理报废的资产。该报表显示的数据依赖于当前用户所拥有的数据权限</w:t>
            </w:r>
          </w:p>
        </w:tc>
      </w:tr>
      <w:tr w14:paraId="6AEABB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52CCAA73"/>
        </w:tc>
        <w:tc>
          <w:tcPr>
            <w:tcW w:w="1359" w:type="dxa"/>
            <w:vMerge w:val="continue"/>
            <w:tcBorders>
              <w:tl2br w:val="nil"/>
              <w:tr2bl w:val="nil"/>
            </w:tcBorders>
            <w:vAlign w:val="center"/>
          </w:tcPr>
          <w:p w14:paraId="7E10CCD6"/>
        </w:tc>
        <w:tc>
          <w:tcPr>
            <w:tcW w:w="1466" w:type="dxa"/>
            <w:tcBorders>
              <w:tl2br w:val="nil"/>
              <w:tr2bl w:val="nil"/>
            </w:tcBorders>
            <w:shd w:val="clear" w:color="auto" w:fill="auto"/>
            <w:vAlign w:val="center"/>
          </w:tcPr>
          <w:p w14:paraId="1BBD1FF8">
            <w:r>
              <w:rPr>
                <w:rFonts w:hint="eastAsia"/>
              </w:rPr>
              <w:t>折旧粗算表</w:t>
            </w:r>
          </w:p>
        </w:tc>
        <w:tc>
          <w:tcPr>
            <w:tcW w:w="5870" w:type="dxa"/>
            <w:tcBorders>
              <w:tl2br w:val="nil"/>
              <w:tr2bl w:val="nil"/>
            </w:tcBorders>
            <w:shd w:val="clear" w:color="auto" w:fill="auto"/>
            <w:vAlign w:val="center"/>
          </w:tcPr>
          <w:p w14:paraId="63156AA3">
            <w:r>
              <w:rPr>
                <w:rFonts w:hint="eastAsia"/>
              </w:rPr>
              <w:t>根据资产原值和使用期限，按平均年限粗算资产折旧。如需详细折旧，请使用财务管理模块。该报表显示的数据依赖于当前用户所拥有的数据权限</w:t>
            </w:r>
          </w:p>
        </w:tc>
      </w:tr>
      <w:tr w14:paraId="76DDBD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35D3E5A4"/>
        </w:tc>
        <w:tc>
          <w:tcPr>
            <w:tcW w:w="1359" w:type="dxa"/>
            <w:vMerge w:val="continue"/>
            <w:tcBorders>
              <w:tl2br w:val="nil"/>
              <w:tr2bl w:val="nil"/>
            </w:tcBorders>
            <w:vAlign w:val="center"/>
          </w:tcPr>
          <w:p w14:paraId="409E54D8"/>
        </w:tc>
        <w:tc>
          <w:tcPr>
            <w:tcW w:w="1466" w:type="dxa"/>
            <w:tcBorders>
              <w:tl2br w:val="nil"/>
              <w:tr2bl w:val="nil"/>
            </w:tcBorders>
            <w:shd w:val="clear" w:color="auto" w:fill="auto"/>
            <w:vAlign w:val="center"/>
          </w:tcPr>
          <w:p w14:paraId="07C65AC4">
            <w:r>
              <w:rPr>
                <w:rFonts w:hint="eastAsia"/>
              </w:rPr>
              <w:t>资产分类增减表</w:t>
            </w:r>
          </w:p>
        </w:tc>
        <w:tc>
          <w:tcPr>
            <w:tcW w:w="5870" w:type="dxa"/>
            <w:tcBorders>
              <w:tl2br w:val="nil"/>
              <w:tr2bl w:val="nil"/>
            </w:tcBorders>
            <w:shd w:val="clear" w:color="auto" w:fill="auto"/>
            <w:vAlign w:val="center"/>
          </w:tcPr>
          <w:p w14:paraId="3600F514">
            <w:r>
              <w:rPr>
                <w:rFonts w:hint="eastAsia"/>
              </w:rPr>
              <w:t>资产分类增减报表按照使用公司和日期范围统计每个资产分类下资产的初始、增减、结存情况。该报表显示的数据依赖于当前用户所拥有的数据权限</w:t>
            </w:r>
          </w:p>
        </w:tc>
      </w:tr>
      <w:tr w14:paraId="589E3C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7766E38C"/>
        </w:tc>
        <w:tc>
          <w:tcPr>
            <w:tcW w:w="1359" w:type="dxa"/>
            <w:vMerge w:val="continue"/>
            <w:tcBorders>
              <w:tl2br w:val="nil"/>
              <w:tr2bl w:val="nil"/>
            </w:tcBorders>
            <w:vAlign w:val="center"/>
          </w:tcPr>
          <w:p w14:paraId="608E6C30"/>
        </w:tc>
        <w:tc>
          <w:tcPr>
            <w:tcW w:w="1466" w:type="dxa"/>
            <w:tcBorders>
              <w:tl2br w:val="nil"/>
              <w:tr2bl w:val="nil"/>
            </w:tcBorders>
            <w:shd w:val="clear" w:color="auto" w:fill="auto"/>
            <w:vAlign w:val="center"/>
          </w:tcPr>
          <w:p w14:paraId="26A9CF8A">
            <w:r>
              <w:rPr>
                <w:rFonts w:hint="eastAsia"/>
              </w:rPr>
              <w:t>维保到期统计表</w:t>
            </w:r>
          </w:p>
        </w:tc>
        <w:tc>
          <w:tcPr>
            <w:tcW w:w="5870" w:type="dxa"/>
            <w:tcBorders>
              <w:tl2br w:val="nil"/>
              <w:tr2bl w:val="nil"/>
            </w:tcBorders>
            <w:shd w:val="clear" w:color="auto" w:fill="auto"/>
            <w:vAlign w:val="center"/>
          </w:tcPr>
          <w:p w14:paraId="5549ED4F">
            <w:r>
              <w:rPr>
                <w:rFonts w:hint="eastAsia"/>
              </w:rPr>
              <w:t>维保到期统计表展示指定日期范围内的维保到期的资产明细。该报表显示的数据依赖于当前用户所拥有的数据权限</w:t>
            </w:r>
          </w:p>
        </w:tc>
      </w:tr>
      <w:tr w14:paraId="6490A3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12EBD4AD"/>
        </w:tc>
        <w:tc>
          <w:tcPr>
            <w:tcW w:w="1359" w:type="dxa"/>
            <w:vMerge w:val="continue"/>
            <w:tcBorders>
              <w:tl2br w:val="nil"/>
              <w:tr2bl w:val="nil"/>
            </w:tcBorders>
            <w:vAlign w:val="center"/>
          </w:tcPr>
          <w:p w14:paraId="33C402C6"/>
        </w:tc>
        <w:tc>
          <w:tcPr>
            <w:tcW w:w="1466" w:type="dxa"/>
            <w:tcBorders>
              <w:tl2br w:val="nil"/>
              <w:tr2bl w:val="nil"/>
            </w:tcBorders>
            <w:shd w:val="clear" w:color="auto" w:fill="auto"/>
            <w:vAlign w:val="center"/>
          </w:tcPr>
          <w:p w14:paraId="1F298B6E">
            <w:r>
              <w:rPr>
                <w:rFonts w:hint="eastAsia"/>
              </w:rPr>
              <w:t>普通用户资产统计</w:t>
            </w:r>
          </w:p>
        </w:tc>
        <w:tc>
          <w:tcPr>
            <w:tcW w:w="5870" w:type="dxa"/>
            <w:tcBorders>
              <w:tl2br w:val="nil"/>
              <w:tr2bl w:val="nil"/>
            </w:tcBorders>
            <w:shd w:val="clear" w:color="auto" w:fill="auto"/>
            <w:vAlign w:val="center"/>
          </w:tcPr>
          <w:p w14:paraId="76A72475">
            <w:r>
              <w:rPr>
                <w:rFonts w:hint="eastAsia"/>
              </w:rPr>
              <w:t>管理用户可通过该报表查看每个普通用户（资产使用人）名下在用和借用的资产明细。显示的数据依赖于当前用户所拥有的数据权限</w:t>
            </w:r>
          </w:p>
        </w:tc>
      </w:tr>
      <w:tr w14:paraId="72493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2F0A8000"/>
        </w:tc>
        <w:tc>
          <w:tcPr>
            <w:tcW w:w="1359" w:type="dxa"/>
            <w:vMerge w:val="continue"/>
            <w:tcBorders>
              <w:tl2br w:val="nil"/>
              <w:tr2bl w:val="nil"/>
            </w:tcBorders>
            <w:vAlign w:val="center"/>
          </w:tcPr>
          <w:p w14:paraId="61DBD6CD"/>
        </w:tc>
        <w:tc>
          <w:tcPr>
            <w:tcW w:w="1466" w:type="dxa"/>
            <w:tcBorders>
              <w:tl2br w:val="nil"/>
              <w:tr2bl w:val="nil"/>
            </w:tcBorders>
            <w:shd w:val="clear" w:color="auto" w:fill="auto"/>
            <w:vAlign w:val="center"/>
          </w:tcPr>
          <w:p w14:paraId="7B69FEE6">
            <w:r>
              <w:rPr>
                <w:rFonts w:hint="eastAsia"/>
              </w:rPr>
              <w:t>标准资产型号统计</w:t>
            </w:r>
          </w:p>
        </w:tc>
        <w:tc>
          <w:tcPr>
            <w:tcW w:w="5870" w:type="dxa"/>
            <w:tcBorders>
              <w:tl2br w:val="nil"/>
              <w:tr2bl w:val="nil"/>
            </w:tcBorders>
            <w:shd w:val="clear" w:color="auto" w:fill="auto"/>
            <w:vAlign w:val="center"/>
          </w:tcPr>
          <w:p w14:paraId="5A75EAD6">
            <w:r>
              <w:rPr>
                <w:rFonts w:hint="eastAsia"/>
              </w:rPr>
              <w:t>统计每个标准资产型号下的各个状态的资产数量。显示的数据依赖于当前用户所拥有的数据权限</w:t>
            </w:r>
          </w:p>
        </w:tc>
      </w:tr>
      <w:tr w14:paraId="433B46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476" w:type="dxa"/>
            <w:vMerge w:val="continue"/>
            <w:tcBorders>
              <w:tl2br w:val="nil"/>
              <w:tr2bl w:val="nil"/>
            </w:tcBorders>
            <w:vAlign w:val="center"/>
          </w:tcPr>
          <w:p w14:paraId="52F04F55"/>
        </w:tc>
        <w:tc>
          <w:tcPr>
            <w:tcW w:w="1359" w:type="dxa"/>
            <w:vMerge w:val="continue"/>
            <w:tcBorders>
              <w:tl2br w:val="nil"/>
              <w:tr2bl w:val="nil"/>
            </w:tcBorders>
            <w:vAlign w:val="center"/>
          </w:tcPr>
          <w:p w14:paraId="12A480E8"/>
        </w:tc>
        <w:tc>
          <w:tcPr>
            <w:tcW w:w="1466" w:type="dxa"/>
            <w:tcBorders>
              <w:tl2br w:val="nil"/>
              <w:tr2bl w:val="nil"/>
            </w:tcBorders>
            <w:shd w:val="clear" w:color="auto" w:fill="auto"/>
            <w:vAlign w:val="center"/>
          </w:tcPr>
          <w:p w14:paraId="65DDCFBE">
            <w:r>
              <w:rPr>
                <w:rFonts w:hint="eastAsia"/>
              </w:rPr>
              <w:t>闲置资产共享</w:t>
            </w:r>
          </w:p>
        </w:tc>
        <w:tc>
          <w:tcPr>
            <w:tcW w:w="5870" w:type="dxa"/>
            <w:tcBorders>
              <w:tl2br w:val="nil"/>
              <w:tr2bl w:val="nil"/>
            </w:tcBorders>
            <w:shd w:val="clear" w:color="auto" w:fill="auto"/>
            <w:vAlign w:val="center"/>
          </w:tcPr>
          <w:p w14:paraId="47065B91">
            <w:r>
              <w:rPr>
                <w:rFonts w:hint="eastAsia"/>
              </w:rPr>
              <w:t>闲置资产共享报表展示企业下每个公司的闲置资产清单。该报表用于各公司采购资产前查看是否可以从其他公司调拨闲置资产，以控制采购成本</w:t>
            </w:r>
          </w:p>
        </w:tc>
      </w:tr>
      <w:tr w14:paraId="5E7886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62F2D035"/>
        </w:tc>
        <w:tc>
          <w:tcPr>
            <w:tcW w:w="1359" w:type="dxa"/>
            <w:vMerge w:val="restart"/>
            <w:tcBorders>
              <w:tl2br w:val="nil"/>
              <w:tr2bl w:val="nil"/>
            </w:tcBorders>
            <w:shd w:val="clear" w:color="auto" w:fill="auto"/>
            <w:vAlign w:val="center"/>
          </w:tcPr>
          <w:p w14:paraId="0CE2F2BA">
            <w:r>
              <w:rPr>
                <w:rFonts w:hint="eastAsia"/>
              </w:rPr>
              <w:t>设置</w:t>
            </w:r>
          </w:p>
        </w:tc>
        <w:tc>
          <w:tcPr>
            <w:tcW w:w="1466" w:type="dxa"/>
            <w:tcBorders>
              <w:tl2br w:val="nil"/>
              <w:tr2bl w:val="nil"/>
            </w:tcBorders>
            <w:shd w:val="clear" w:color="auto" w:fill="auto"/>
            <w:vAlign w:val="center"/>
          </w:tcPr>
          <w:p w14:paraId="18AFC4FA">
            <w:r>
              <w:rPr>
                <w:rFonts w:hint="eastAsia"/>
              </w:rPr>
              <w:t>资产分类</w:t>
            </w:r>
          </w:p>
        </w:tc>
        <w:tc>
          <w:tcPr>
            <w:tcW w:w="5870" w:type="dxa"/>
            <w:tcBorders>
              <w:tl2br w:val="nil"/>
              <w:tr2bl w:val="nil"/>
            </w:tcBorders>
            <w:shd w:val="clear" w:color="auto" w:fill="auto"/>
            <w:vAlign w:val="center"/>
          </w:tcPr>
          <w:p w14:paraId="751B0FCD">
            <w:r>
              <w:rPr>
                <w:rFonts w:hint="eastAsia"/>
              </w:rPr>
              <w:t>支持多级资产分类</w:t>
            </w:r>
          </w:p>
        </w:tc>
      </w:tr>
      <w:tr w14:paraId="592B4F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0F8834ED"/>
        </w:tc>
        <w:tc>
          <w:tcPr>
            <w:tcW w:w="1359" w:type="dxa"/>
            <w:vMerge w:val="continue"/>
            <w:tcBorders>
              <w:tl2br w:val="nil"/>
              <w:tr2bl w:val="nil"/>
            </w:tcBorders>
            <w:vAlign w:val="center"/>
          </w:tcPr>
          <w:p w14:paraId="63BA0FCC"/>
        </w:tc>
        <w:tc>
          <w:tcPr>
            <w:tcW w:w="1466" w:type="dxa"/>
            <w:tcBorders>
              <w:tl2br w:val="nil"/>
              <w:tr2bl w:val="nil"/>
            </w:tcBorders>
            <w:shd w:val="clear" w:color="auto" w:fill="auto"/>
            <w:vAlign w:val="center"/>
          </w:tcPr>
          <w:p w14:paraId="793BEBAB">
            <w:r>
              <w:rPr>
                <w:rFonts w:hint="eastAsia"/>
              </w:rPr>
              <w:t>区域</w:t>
            </w:r>
          </w:p>
        </w:tc>
        <w:tc>
          <w:tcPr>
            <w:tcW w:w="5870" w:type="dxa"/>
            <w:tcBorders>
              <w:tl2br w:val="nil"/>
              <w:tr2bl w:val="nil"/>
            </w:tcBorders>
            <w:shd w:val="clear" w:color="auto" w:fill="auto"/>
            <w:vAlign w:val="center"/>
          </w:tcPr>
          <w:p w14:paraId="2F4B278D">
            <w:r>
              <w:rPr>
                <w:rFonts w:hint="eastAsia"/>
              </w:rPr>
              <w:t>设置多个管理区域</w:t>
            </w:r>
          </w:p>
        </w:tc>
      </w:tr>
      <w:tr w14:paraId="72F64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476" w:type="dxa"/>
            <w:vMerge w:val="continue"/>
            <w:tcBorders>
              <w:tl2br w:val="nil"/>
              <w:tr2bl w:val="nil"/>
            </w:tcBorders>
            <w:vAlign w:val="center"/>
          </w:tcPr>
          <w:p w14:paraId="2F81D2E6"/>
        </w:tc>
        <w:tc>
          <w:tcPr>
            <w:tcW w:w="1359" w:type="dxa"/>
            <w:vMerge w:val="continue"/>
            <w:tcBorders>
              <w:tl2br w:val="nil"/>
              <w:tr2bl w:val="nil"/>
            </w:tcBorders>
            <w:vAlign w:val="center"/>
          </w:tcPr>
          <w:p w14:paraId="434873FB"/>
        </w:tc>
        <w:tc>
          <w:tcPr>
            <w:tcW w:w="1466" w:type="dxa"/>
            <w:tcBorders>
              <w:tl2br w:val="nil"/>
              <w:tr2bl w:val="nil"/>
            </w:tcBorders>
            <w:shd w:val="clear" w:color="auto" w:fill="auto"/>
            <w:vAlign w:val="center"/>
          </w:tcPr>
          <w:p w14:paraId="11B863C6">
            <w:r>
              <w:rPr>
                <w:rFonts w:hint="eastAsia"/>
              </w:rPr>
              <w:t>标签模板设置</w:t>
            </w:r>
          </w:p>
        </w:tc>
        <w:tc>
          <w:tcPr>
            <w:tcW w:w="5870" w:type="dxa"/>
            <w:tcBorders>
              <w:tl2br w:val="nil"/>
              <w:tr2bl w:val="nil"/>
            </w:tcBorders>
            <w:shd w:val="clear" w:color="auto" w:fill="auto"/>
            <w:vAlign w:val="center"/>
          </w:tcPr>
          <w:p w14:paraId="2717D541">
            <w:r>
              <w:rPr>
                <w:rFonts w:hint="eastAsia"/>
              </w:rPr>
              <w:t>选择标签模板样式、设置纸型及大小</w:t>
            </w:r>
          </w:p>
        </w:tc>
      </w:tr>
      <w:tr w14:paraId="4DF636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476" w:type="dxa"/>
            <w:vMerge w:val="continue"/>
            <w:tcBorders>
              <w:tl2br w:val="nil"/>
              <w:tr2bl w:val="nil"/>
            </w:tcBorders>
            <w:vAlign w:val="center"/>
          </w:tcPr>
          <w:p w14:paraId="64E65C1F"/>
        </w:tc>
        <w:tc>
          <w:tcPr>
            <w:tcW w:w="1359" w:type="dxa"/>
            <w:vMerge w:val="continue"/>
            <w:tcBorders>
              <w:tl2br w:val="nil"/>
              <w:tr2bl w:val="nil"/>
            </w:tcBorders>
            <w:vAlign w:val="center"/>
          </w:tcPr>
          <w:p w14:paraId="53776E02"/>
        </w:tc>
        <w:tc>
          <w:tcPr>
            <w:tcW w:w="1466" w:type="dxa"/>
            <w:tcBorders>
              <w:tl2br w:val="nil"/>
              <w:tr2bl w:val="nil"/>
            </w:tcBorders>
            <w:shd w:val="clear" w:color="auto" w:fill="auto"/>
            <w:vAlign w:val="center"/>
          </w:tcPr>
          <w:p w14:paraId="061E8086">
            <w:r>
              <w:rPr>
                <w:rFonts w:hint="eastAsia"/>
              </w:rPr>
              <w:t>资产编码规则</w:t>
            </w:r>
          </w:p>
        </w:tc>
        <w:tc>
          <w:tcPr>
            <w:tcW w:w="5870" w:type="dxa"/>
            <w:tcBorders>
              <w:tl2br w:val="nil"/>
              <w:tr2bl w:val="nil"/>
            </w:tcBorders>
            <w:shd w:val="clear" w:color="auto" w:fill="auto"/>
            <w:vAlign w:val="center"/>
          </w:tcPr>
          <w:p w14:paraId="0B63BE92">
            <w:r>
              <w:rPr>
                <w:rFonts w:hint="eastAsia"/>
              </w:rPr>
              <w:t>设置资产自动编码规则</w:t>
            </w:r>
          </w:p>
        </w:tc>
      </w:tr>
      <w:tr w14:paraId="605E29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76" w:type="dxa"/>
            <w:vMerge w:val="continue"/>
            <w:tcBorders>
              <w:tl2br w:val="nil"/>
              <w:tr2bl w:val="nil"/>
            </w:tcBorders>
            <w:vAlign w:val="center"/>
          </w:tcPr>
          <w:p w14:paraId="00C7659D"/>
        </w:tc>
        <w:tc>
          <w:tcPr>
            <w:tcW w:w="1359" w:type="dxa"/>
            <w:vMerge w:val="continue"/>
            <w:tcBorders>
              <w:tl2br w:val="nil"/>
              <w:tr2bl w:val="nil"/>
            </w:tcBorders>
            <w:vAlign w:val="center"/>
          </w:tcPr>
          <w:p w14:paraId="49E41B85"/>
        </w:tc>
        <w:tc>
          <w:tcPr>
            <w:tcW w:w="1466" w:type="dxa"/>
            <w:tcBorders>
              <w:tl2br w:val="nil"/>
              <w:tr2bl w:val="nil"/>
            </w:tcBorders>
            <w:shd w:val="clear" w:color="auto" w:fill="auto"/>
            <w:vAlign w:val="center"/>
          </w:tcPr>
          <w:p w14:paraId="4CD61583">
            <w:r>
              <w:rPr>
                <w:rFonts w:hint="eastAsia"/>
              </w:rPr>
              <w:t>通用设置</w:t>
            </w:r>
          </w:p>
        </w:tc>
        <w:tc>
          <w:tcPr>
            <w:tcW w:w="5870" w:type="dxa"/>
            <w:tcBorders>
              <w:tl2br w:val="nil"/>
              <w:tr2bl w:val="nil"/>
            </w:tcBorders>
            <w:shd w:val="clear" w:color="auto" w:fill="auto"/>
            <w:vAlign w:val="center"/>
          </w:tcPr>
          <w:p w14:paraId="3564EAA1">
            <w:r>
              <w:rPr>
                <w:rFonts w:hint="eastAsia"/>
              </w:rPr>
              <w:t>设置普通用户门户启用的功能和资产卡片展示内容</w:t>
            </w:r>
          </w:p>
          <w:p w14:paraId="15F51256">
            <w:r>
              <w:rPr>
                <w:rFonts w:hint="eastAsia"/>
              </w:rPr>
              <w:t>设置资产管理下各单据是否要求签字</w:t>
            </w:r>
          </w:p>
          <w:p w14:paraId="6DCAF991">
            <w:r>
              <w:rPr>
                <w:rFonts w:hint="eastAsia"/>
              </w:rPr>
              <w:t>通知提醒设置</w:t>
            </w:r>
          </w:p>
          <w:p w14:paraId="0F04BBB2">
            <w:r>
              <w:rPr>
                <w:rFonts w:hint="eastAsia"/>
              </w:rPr>
              <w:t>资产是否跟随普通用户部门变动设置</w:t>
            </w:r>
          </w:p>
        </w:tc>
      </w:tr>
      <w:tr w14:paraId="2855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restart"/>
            <w:tcBorders>
              <w:tl2br w:val="nil"/>
              <w:tr2bl w:val="nil"/>
            </w:tcBorders>
            <w:shd w:val="clear" w:color="auto" w:fill="auto"/>
            <w:vAlign w:val="center"/>
          </w:tcPr>
          <w:p w14:paraId="6B1A77E3">
            <w:r>
              <w:rPr>
                <w:rFonts w:hint="eastAsia"/>
              </w:rPr>
              <w:t>全员管理</w:t>
            </w:r>
          </w:p>
        </w:tc>
        <w:tc>
          <w:tcPr>
            <w:tcW w:w="1359" w:type="dxa"/>
            <w:vMerge w:val="restart"/>
            <w:tcBorders>
              <w:tl2br w:val="nil"/>
              <w:tr2bl w:val="nil"/>
            </w:tcBorders>
            <w:shd w:val="clear" w:color="auto" w:fill="auto"/>
            <w:vAlign w:val="center"/>
          </w:tcPr>
          <w:p w14:paraId="354687CD">
            <w:r>
              <w:rPr>
                <w:rFonts w:hint="eastAsia"/>
              </w:rPr>
              <w:t>资产</w:t>
            </w:r>
          </w:p>
        </w:tc>
        <w:tc>
          <w:tcPr>
            <w:tcW w:w="1466" w:type="dxa"/>
            <w:vMerge w:val="restart"/>
            <w:tcBorders>
              <w:tl2br w:val="nil"/>
              <w:tr2bl w:val="nil"/>
            </w:tcBorders>
            <w:shd w:val="clear" w:color="auto" w:fill="auto"/>
            <w:vAlign w:val="center"/>
          </w:tcPr>
          <w:p w14:paraId="47887098">
            <w:r>
              <w:rPr>
                <w:rFonts w:hint="eastAsia"/>
              </w:rPr>
              <w:t>我的资产</w:t>
            </w:r>
          </w:p>
        </w:tc>
        <w:tc>
          <w:tcPr>
            <w:tcW w:w="5870" w:type="dxa"/>
            <w:tcBorders>
              <w:tl2br w:val="nil"/>
              <w:tr2bl w:val="nil"/>
            </w:tcBorders>
            <w:shd w:val="clear" w:color="auto" w:fill="auto"/>
            <w:vAlign w:val="center"/>
          </w:tcPr>
          <w:p w14:paraId="2C43AB82">
            <w:r>
              <w:rPr>
                <w:rFonts w:hint="eastAsia"/>
              </w:rPr>
              <w:t>查看普通用户自己名下的资产</w:t>
            </w:r>
          </w:p>
        </w:tc>
      </w:tr>
      <w:tr w14:paraId="3C98A0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1F9B294F"/>
        </w:tc>
        <w:tc>
          <w:tcPr>
            <w:tcW w:w="1359" w:type="dxa"/>
            <w:vMerge w:val="continue"/>
            <w:tcBorders>
              <w:tl2br w:val="nil"/>
              <w:tr2bl w:val="nil"/>
            </w:tcBorders>
            <w:vAlign w:val="center"/>
          </w:tcPr>
          <w:p w14:paraId="7AE35646"/>
        </w:tc>
        <w:tc>
          <w:tcPr>
            <w:tcW w:w="1466" w:type="dxa"/>
            <w:vMerge w:val="continue"/>
            <w:tcBorders>
              <w:tl2br w:val="nil"/>
              <w:tr2bl w:val="nil"/>
            </w:tcBorders>
            <w:shd w:val="clear" w:color="auto" w:fill="auto"/>
            <w:vAlign w:val="center"/>
          </w:tcPr>
          <w:p w14:paraId="519EC616"/>
        </w:tc>
        <w:tc>
          <w:tcPr>
            <w:tcW w:w="5870" w:type="dxa"/>
            <w:tcBorders>
              <w:tl2br w:val="nil"/>
              <w:tr2bl w:val="nil"/>
            </w:tcBorders>
            <w:shd w:val="clear" w:color="auto" w:fill="auto"/>
            <w:vAlign w:val="center"/>
          </w:tcPr>
          <w:p w14:paraId="6BA1315F">
            <w:r>
              <w:rPr>
                <w:rFonts w:hint="eastAsia"/>
              </w:rPr>
              <w:t>普通用户可对名下资产报修，支持报修拍照。</w:t>
            </w:r>
          </w:p>
        </w:tc>
      </w:tr>
      <w:tr w14:paraId="3A7B05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1476" w:type="dxa"/>
            <w:vMerge w:val="continue"/>
            <w:tcBorders>
              <w:tl2br w:val="nil"/>
              <w:tr2bl w:val="nil"/>
            </w:tcBorders>
            <w:vAlign w:val="center"/>
          </w:tcPr>
          <w:p w14:paraId="46037DFB"/>
        </w:tc>
        <w:tc>
          <w:tcPr>
            <w:tcW w:w="1359" w:type="dxa"/>
            <w:vMerge w:val="continue"/>
            <w:tcBorders>
              <w:tl2br w:val="nil"/>
              <w:tr2bl w:val="nil"/>
            </w:tcBorders>
            <w:vAlign w:val="center"/>
          </w:tcPr>
          <w:p w14:paraId="587ACF83"/>
        </w:tc>
        <w:tc>
          <w:tcPr>
            <w:tcW w:w="1466" w:type="dxa"/>
            <w:vMerge w:val="continue"/>
            <w:tcBorders>
              <w:tl2br w:val="nil"/>
              <w:tr2bl w:val="nil"/>
            </w:tcBorders>
            <w:shd w:val="clear" w:color="auto" w:fill="auto"/>
            <w:vAlign w:val="center"/>
          </w:tcPr>
          <w:p w14:paraId="24E37DD0"/>
        </w:tc>
        <w:tc>
          <w:tcPr>
            <w:tcW w:w="5870" w:type="dxa"/>
            <w:tcBorders>
              <w:tl2br w:val="nil"/>
              <w:tr2bl w:val="nil"/>
            </w:tcBorders>
            <w:shd w:val="clear" w:color="auto" w:fill="auto"/>
            <w:vAlign w:val="center"/>
          </w:tcPr>
          <w:p w14:paraId="78A358DF">
            <w:r>
              <w:rPr>
                <w:rFonts w:hint="eastAsia"/>
              </w:rPr>
              <w:t>根据权限设置，普通用户可对非自己名下资产扫码报修</w:t>
            </w:r>
          </w:p>
        </w:tc>
      </w:tr>
      <w:tr w14:paraId="0FAAC7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08182418"/>
        </w:tc>
        <w:tc>
          <w:tcPr>
            <w:tcW w:w="1359" w:type="dxa"/>
            <w:vMerge w:val="restart"/>
            <w:tcBorders>
              <w:tl2br w:val="nil"/>
              <w:tr2bl w:val="nil"/>
            </w:tcBorders>
            <w:shd w:val="clear" w:color="auto" w:fill="auto"/>
            <w:vAlign w:val="center"/>
          </w:tcPr>
          <w:p w14:paraId="200BC718">
            <w:r>
              <w:rPr>
                <w:rFonts w:hint="eastAsia"/>
              </w:rPr>
              <w:t>工作</w:t>
            </w:r>
          </w:p>
        </w:tc>
        <w:tc>
          <w:tcPr>
            <w:tcW w:w="1466" w:type="dxa"/>
            <w:tcBorders>
              <w:tl2br w:val="nil"/>
              <w:tr2bl w:val="nil"/>
            </w:tcBorders>
            <w:shd w:val="clear" w:color="auto" w:fill="auto"/>
            <w:vAlign w:val="center"/>
          </w:tcPr>
          <w:p w14:paraId="0F516362">
            <w:r>
              <w:rPr>
                <w:rFonts w:hint="eastAsia"/>
              </w:rPr>
              <w:t>领用</w:t>
            </w:r>
          </w:p>
        </w:tc>
        <w:tc>
          <w:tcPr>
            <w:tcW w:w="5870" w:type="dxa"/>
            <w:tcBorders>
              <w:tl2br w:val="nil"/>
              <w:tr2bl w:val="nil"/>
            </w:tcBorders>
            <w:shd w:val="clear" w:color="auto" w:fill="auto"/>
            <w:vAlign w:val="center"/>
          </w:tcPr>
          <w:p w14:paraId="67607B76">
            <w:r>
              <w:rPr>
                <w:rFonts w:hint="eastAsia"/>
              </w:rPr>
              <w:t>支持普通用户发起资产和办公用品领用申请</w:t>
            </w:r>
          </w:p>
        </w:tc>
      </w:tr>
      <w:tr w14:paraId="2D6AC0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29D236C6"/>
        </w:tc>
        <w:tc>
          <w:tcPr>
            <w:tcW w:w="1359" w:type="dxa"/>
            <w:vMerge w:val="continue"/>
            <w:tcBorders>
              <w:tl2br w:val="nil"/>
              <w:tr2bl w:val="nil"/>
            </w:tcBorders>
            <w:vAlign w:val="center"/>
          </w:tcPr>
          <w:p w14:paraId="19032CA4"/>
        </w:tc>
        <w:tc>
          <w:tcPr>
            <w:tcW w:w="1466" w:type="dxa"/>
            <w:tcBorders>
              <w:tl2br w:val="nil"/>
              <w:tr2bl w:val="nil"/>
            </w:tcBorders>
            <w:shd w:val="clear" w:color="auto" w:fill="auto"/>
            <w:vAlign w:val="center"/>
          </w:tcPr>
          <w:p w14:paraId="2733E45E">
            <w:r>
              <w:rPr>
                <w:rFonts w:hint="eastAsia"/>
              </w:rPr>
              <w:t>退还</w:t>
            </w:r>
          </w:p>
        </w:tc>
        <w:tc>
          <w:tcPr>
            <w:tcW w:w="5870" w:type="dxa"/>
            <w:tcBorders>
              <w:tl2br w:val="nil"/>
              <w:tr2bl w:val="nil"/>
            </w:tcBorders>
            <w:shd w:val="clear" w:color="auto" w:fill="auto"/>
            <w:vAlign w:val="center"/>
          </w:tcPr>
          <w:p w14:paraId="1A4C5D38">
            <w:r>
              <w:rPr>
                <w:rFonts w:hint="eastAsia"/>
              </w:rPr>
              <w:t>支持普通用户发起资产退还申请</w:t>
            </w:r>
          </w:p>
        </w:tc>
      </w:tr>
      <w:tr w14:paraId="3DDC24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1DAFB7AF"/>
        </w:tc>
        <w:tc>
          <w:tcPr>
            <w:tcW w:w="1359" w:type="dxa"/>
            <w:vMerge w:val="continue"/>
            <w:tcBorders>
              <w:tl2br w:val="nil"/>
              <w:tr2bl w:val="nil"/>
            </w:tcBorders>
            <w:vAlign w:val="center"/>
          </w:tcPr>
          <w:p w14:paraId="16430DDF"/>
        </w:tc>
        <w:tc>
          <w:tcPr>
            <w:tcW w:w="1466" w:type="dxa"/>
            <w:tcBorders>
              <w:tl2br w:val="nil"/>
              <w:tr2bl w:val="nil"/>
            </w:tcBorders>
            <w:shd w:val="clear" w:color="auto" w:fill="auto"/>
            <w:vAlign w:val="center"/>
          </w:tcPr>
          <w:p w14:paraId="5DB211DF">
            <w:r>
              <w:rPr>
                <w:rFonts w:hint="eastAsia"/>
              </w:rPr>
              <w:t>借用</w:t>
            </w:r>
          </w:p>
        </w:tc>
        <w:tc>
          <w:tcPr>
            <w:tcW w:w="5870" w:type="dxa"/>
            <w:tcBorders>
              <w:tl2br w:val="nil"/>
              <w:tr2bl w:val="nil"/>
            </w:tcBorders>
            <w:shd w:val="clear" w:color="auto" w:fill="auto"/>
            <w:vAlign w:val="center"/>
          </w:tcPr>
          <w:p w14:paraId="7D7079FC">
            <w:r>
              <w:rPr>
                <w:rFonts w:hint="eastAsia"/>
              </w:rPr>
              <w:t>支持普通用户发起资产借用申请</w:t>
            </w:r>
          </w:p>
        </w:tc>
      </w:tr>
      <w:tr w14:paraId="4364FD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4E9FB192"/>
        </w:tc>
        <w:tc>
          <w:tcPr>
            <w:tcW w:w="1359" w:type="dxa"/>
            <w:vMerge w:val="continue"/>
            <w:tcBorders>
              <w:tl2br w:val="nil"/>
              <w:tr2bl w:val="nil"/>
            </w:tcBorders>
            <w:vAlign w:val="center"/>
          </w:tcPr>
          <w:p w14:paraId="6782FA6A"/>
        </w:tc>
        <w:tc>
          <w:tcPr>
            <w:tcW w:w="1466" w:type="dxa"/>
            <w:tcBorders>
              <w:tl2br w:val="nil"/>
              <w:tr2bl w:val="nil"/>
            </w:tcBorders>
            <w:shd w:val="clear" w:color="auto" w:fill="auto"/>
            <w:vAlign w:val="center"/>
          </w:tcPr>
          <w:p w14:paraId="5CBABC48">
            <w:r>
              <w:rPr>
                <w:rFonts w:hint="eastAsia"/>
              </w:rPr>
              <w:t>交接</w:t>
            </w:r>
          </w:p>
        </w:tc>
        <w:tc>
          <w:tcPr>
            <w:tcW w:w="5870" w:type="dxa"/>
            <w:tcBorders>
              <w:tl2br w:val="nil"/>
              <w:tr2bl w:val="nil"/>
            </w:tcBorders>
            <w:shd w:val="clear" w:color="auto" w:fill="auto"/>
            <w:vAlign w:val="center"/>
          </w:tcPr>
          <w:p w14:paraId="7F0904A4">
            <w:r>
              <w:rPr>
                <w:rFonts w:hint="eastAsia"/>
              </w:rPr>
              <w:t>支持普通用户之间自助交接资产</w:t>
            </w:r>
          </w:p>
        </w:tc>
      </w:tr>
      <w:tr w14:paraId="28F3EB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20DC7C23"/>
        </w:tc>
        <w:tc>
          <w:tcPr>
            <w:tcW w:w="1359" w:type="dxa"/>
            <w:vMerge w:val="continue"/>
            <w:tcBorders>
              <w:tl2br w:val="nil"/>
              <w:tr2bl w:val="nil"/>
            </w:tcBorders>
            <w:vAlign w:val="center"/>
          </w:tcPr>
          <w:p w14:paraId="610F357E"/>
        </w:tc>
        <w:tc>
          <w:tcPr>
            <w:tcW w:w="1466" w:type="dxa"/>
            <w:tcBorders>
              <w:tl2br w:val="nil"/>
              <w:tr2bl w:val="nil"/>
            </w:tcBorders>
            <w:shd w:val="clear" w:color="auto" w:fill="auto"/>
            <w:vAlign w:val="center"/>
          </w:tcPr>
          <w:p w14:paraId="7905EB12">
            <w:r>
              <w:rPr>
                <w:rFonts w:hint="eastAsia"/>
              </w:rPr>
              <w:t>盘点</w:t>
            </w:r>
          </w:p>
        </w:tc>
        <w:tc>
          <w:tcPr>
            <w:tcW w:w="5870" w:type="dxa"/>
            <w:tcBorders>
              <w:tl2br w:val="nil"/>
              <w:tr2bl w:val="nil"/>
            </w:tcBorders>
            <w:shd w:val="clear" w:color="auto" w:fill="auto"/>
            <w:vAlign w:val="center"/>
          </w:tcPr>
          <w:p w14:paraId="7AFAA96D">
            <w:r>
              <w:rPr>
                <w:rFonts w:hint="eastAsia"/>
              </w:rPr>
              <w:t>支持全员盘点功能，每个普通用户可以盘点自己名下的资产</w:t>
            </w:r>
          </w:p>
        </w:tc>
      </w:tr>
      <w:tr w14:paraId="274C95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476" w:type="dxa"/>
            <w:vMerge w:val="continue"/>
            <w:tcBorders>
              <w:tl2br w:val="nil"/>
              <w:tr2bl w:val="nil"/>
            </w:tcBorders>
            <w:vAlign w:val="center"/>
          </w:tcPr>
          <w:p w14:paraId="4FDA8DCA"/>
        </w:tc>
        <w:tc>
          <w:tcPr>
            <w:tcW w:w="1359" w:type="dxa"/>
            <w:vMerge w:val="continue"/>
            <w:tcBorders>
              <w:tl2br w:val="nil"/>
              <w:tr2bl w:val="nil"/>
            </w:tcBorders>
            <w:vAlign w:val="center"/>
          </w:tcPr>
          <w:p w14:paraId="01F26AEC"/>
        </w:tc>
        <w:tc>
          <w:tcPr>
            <w:tcW w:w="1466" w:type="dxa"/>
            <w:tcBorders>
              <w:tl2br w:val="nil"/>
              <w:tr2bl w:val="nil"/>
            </w:tcBorders>
            <w:shd w:val="clear" w:color="auto" w:fill="auto"/>
            <w:vAlign w:val="center"/>
          </w:tcPr>
          <w:p w14:paraId="4E9315B7">
            <w:r>
              <w:rPr>
                <w:rFonts w:hint="eastAsia"/>
              </w:rPr>
              <w:t>收货签字</w:t>
            </w:r>
          </w:p>
        </w:tc>
        <w:tc>
          <w:tcPr>
            <w:tcW w:w="5870" w:type="dxa"/>
            <w:tcBorders>
              <w:tl2br w:val="nil"/>
              <w:tr2bl w:val="nil"/>
            </w:tcBorders>
            <w:shd w:val="clear" w:color="auto" w:fill="auto"/>
            <w:vAlign w:val="center"/>
          </w:tcPr>
          <w:p w14:paraId="040B1594">
            <w:r>
              <w:rPr>
                <w:rFonts w:hint="eastAsia"/>
              </w:rPr>
              <w:t>管理用户发放资产给普通用户后，系统支持普通用户在线上收货签字</w:t>
            </w:r>
          </w:p>
        </w:tc>
      </w:tr>
      <w:tr w14:paraId="06966A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76" w:type="dxa"/>
            <w:vMerge w:val="continue"/>
            <w:tcBorders>
              <w:tl2br w:val="nil"/>
              <w:tr2bl w:val="nil"/>
            </w:tcBorders>
            <w:vAlign w:val="center"/>
          </w:tcPr>
          <w:p w14:paraId="29A1D4E0"/>
        </w:tc>
        <w:tc>
          <w:tcPr>
            <w:tcW w:w="1359" w:type="dxa"/>
            <w:vMerge w:val="continue"/>
            <w:tcBorders>
              <w:tl2br w:val="nil"/>
              <w:tr2bl w:val="nil"/>
            </w:tcBorders>
            <w:vAlign w:val="center"/>
          </w:tcPr>
          <w:p w14:paraId="097E75EE"/>
        </w:tc>
        <w:tc>
          <w:tcPr>
            <w:tcW w:w="1466" w:type="dxa"/>
            <w:tcBorders>
              <w:tl2br w:val="nil"/>
              <w:tr2bl w:val="nil"/>
            </w:tcBorders>
            <w:shd w:val="clear" w:color="auto" w:fill="auto"/>
            <w:vAlign w:val="center"/>
          </w:tcPr>
          <w:p w14:paraId="605B77BC">
            <w:r>
              <w:rPr>
                <w:rFonts w:hint="eastAsia"/>
              </w:rPr>
              <w:t>单据查询</w:t>
            </w:r>
          </w:p>
        </w:tc>
        <w:tc>
          <w:tcPr>
            <w:tcW w:w="5870" w:type="dxa"/>
            <w:tcBorders>
              <w:tl2br w:val="nil"/>
              <w:tr2bl w:val="nil"/>
            </w:tcBorders>
            <w:shd w:val="clear" w:color="auto" w:fill="auto"/>
            <w:vAlign w:val="center"/>
          </w:tcPr>
          <w:p w14:paraId="76186200">
            <w:r>
              <w:rPr>
                <w:rFonts w:hint="eastAsia"/>
              </w:rPr>
              <w:t>支持普通用户查看已发起的申请单状态</w:t>
            </w:r>
          </w:p>
        </w:tc>
      </w:tr>
      <w:tr w14:paraId="5BF3AB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tcBorders>
              <w:tl2br w:val="nil"/>
              <w:tr2bl w:val="nil"/>
            </w:tcBorders>
            <w:shd w:val="clear" w:color="auto" w:fill="auto"/>
            <w:vAlign w:val="center"/>
          </w:tcPr>
          <w:p w14:paraId="2ACF702F">
            <w:r>
              <w:rPr>
                <w:rFonts w:hint="eastAsia"/>
              </w:rPr>
              <w:t>多语言</w:t>
            </w:r>
          </w:p>
        </w:tc>
        <w:tc>
          <w:tcPr>
            <w:tcW w:w="1359" w:type="dxa"/>
            <w:tcBorders>
              <w:tl2br w:val="nil"/>
              <w:tr2bl w:val="nil"/>
            </w:tcBorders>
            <w:shd w:val="clear" w:color="auto" w:fill="auto"/>
            <w:vAlign w:val="center"/>
          </w:tcPr>
          <w:p w14:paraId="63AB2C7D">
            <w:r>
              <w:rPr>
                <w:rFonts w:hint="eastAsia"/>
              </w:rPr>
              <w:t>中英文双语切换</w:t>
            </w:r>
          </w:p>
        </w:tc>
        <w:tc>
          <w:tcPr>
            <w:tcW w:w="7336" w:type="dxa"/>
            <w:gridSpan w:val="2"/>
            <w:tcBorders>
              <w:tl2br w:val="nil"/>
              <w:tr2bl w:val="nil"/>
            </w:tcBorders>
            <w:shd w:val="clear" w:color="auto" w:fill="auto"/>
            <w:vAlign w:val="center"/>
          </w:tcPr>
          <w:p w14:paraId="138FE846">
            <w:r>
              <w:rPr>
                <w:rFonts w:hint="eastAsia"/>
              </w:rPr>
              <w:t>可一键进行中英文双语切换</w:t>
            </w:r>
          </w:p>
        </w:tc>
      </w:tr>
      <w:tr w14:paraId="21AA7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1476" w:type="dxa"/>
            <w:vMerge w:val="restart"/>
            <w:tcBorders>
              <w:tl2br w:val="nil"/>
              <w:tr2bl w:val="nil"/>
            </w:tcBorders>
            <w:shd w:val="clear" w:color="auto" w:fill="auto"/>
            <w:vAlign w:val="center"/>
          </w:tcPr>
          <w:p w14:paraId="72841CBB">
            <w:r>
              <w:rPr>
                <w:rFonts w:hint="eastAsia"/>
              </w:rPr>
              <w:t>系统管理</w:t>
            </w:r>
          </w:p>
        </w:tc>
        <w:tc>
          <w:tcPr>
            <w:tcW w:w="1359" w:type="dxa"/>
            <w:tcBorders>
              <w:tl2br w:val="nil"/>
              <w:tr2bl w:val="nil"/>
            </w:tcBorders>
            <w:shd w:val="clear" w:color="auto" w:fill="auto"/>
            <w:vAlign w:val="center"/>
          </w:tcPr>
          <w:p w14:paraId="6A7C5C01">
            <w:r>
              <w:rPr>
                <w:rFonts w:hint="eastAsia"/>
              </w:rPr>
              <w:t>组织架构</w:t>
            </w:r>
          </w:p>
        </w:tc>
        <w:tc>
          <w:tcPr>
            <w:tcW w:w="7336" w:type="dxa"/>
            <w:gridSpan w:val="2"/>
            <w:tcBorders>
              <w:tl2br w:val="nil"/>
              <w:tr2bl w:val="nil"/>
            </w:tcBorders>
            <w:shd w:val="clear" w:color="auto" w:fill="auto"/>
            <w:vAlign w:val="center"/>
          </w:tcPr>
          <w:p w14:paraId="14CFC662">
            <w:r>
              <w:rPr>
                <w:rFonts w:hint="eastAsia"/>
              </w:rPr>
              <w:t>可以设置公司及下属部门</w:t>
            </w:r>
          </w:p>
        </w:tc>
      </w:tr>
      <w:tr w14:paraId="5A7FA5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76" w:type="dxa"/>
            <w:vMerge w:val="continue"/>
            <w:tcBorders>
              <w:tl2br w:val="nil"/>
              <w:tr2bl w:val="nil"/>
            </w:tcBorders>
            <w:vAlign w:val="center"/>
          </w:tcPr>
          <w:p w14:paraId="160D4284"/>
        </w:tc>
        <w:tc>
          <w:tcPr>
            <w:tcW w:w="1359" w:type="dxa"/>
            <w:tcBorders>
              <w:tl2br w:val="nil"/>
              <w:tr2bl w:val="nil"/>
            </w:tcBorders>
            <w:shd w:val="clear" w:color="auto" w:fill="auto"/>
            <w:vAlign w:val="center"/>
          </w:tcPr>
          <w:p w14:paraId="22AE9F0C">
            <w:r>
              <w:rPr>
                <w:rFonts w:hint="eastAsia"/>
              </w:rPr>
              <w:t>权限管理</w:t>
            </w:r>
          </w:p>
        </w:tc>
        <w:tc>
          <w:tcPr>
            <w:tcW w:w="7336" w:type="dxa"/>
            <w:gridSpan w:val="2"/>
            <w:tcBorders>
              <w:tl2br w:val="nil"/>
              <w:tr2bl w:val="nil"/>
            </w:tcBorders>
            <w:shd w:val="clear" w:color="auto" w:fill="auto"/>
            <w:vAlign w:val="center"/>
          </w:tcPr>
          <w:p w14:paraId="61EDB7A0">
            <w:r>
              <w:rPr>
                <w:rFonts w:hint="eastAsia"/>
              </w:rPr>
              <w:t>可根据功能及数据范围进行授权</w:t>
            </w:r>
          </w:p>
        </w:tc>
      </w:tr>
      <w:tr w14:paraId="75D93C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4549C0F5"/>
        </w:tc>
        <w:tc>
          <w:tcPr>
            <w:tcW w:w="1359" w:type="dxa"/>
            <w:tcBorders>
              <w:tl2br w:val="nil"/>
              <w:tr2bl w:val="nil"/>
            </w:tcBorders>
            <w:shd w:val="clear" w:color="auto" w:fill="auto"/>
            <w:vAlign w:val="center"/>
          </w:tcPr>
          <w:p w14:paraId="6EE25037">
            <w:r>
              <w:rPr>
                <w:rFonts w:hint="eastAsia"/>
              </w:rPr>
              <w:t>用户管理</w:t>
            </w:r>
          </w:p>
        </w:tc>
        <w:tc>
          <w:tcPr>
            <w:tcW w:w="7336" w:type="dxa"/>
            <w:gridSpan w:val="2"/>
            <w:tcBorders>
              <w:tl2br w:val="nil"/>
              <w:tr2bl w:val="nil"/>
            </w:tcBorders>
            <w:shd w:val="clear" w:color="auto" w:fill="auto"/>
            <w:vAlign w:val="center"/>
          </w:tcPr>
          <w:p w14:paraId="43B40667">
            <w:r>
              <w:rPr>
                <w:rFonts w:hint="eastAsia"/>
              </w:rPr>
              <w:t>具备管理用户角色，可以控制其他用户角色</w:t>
            </w:r>
          </w:p>
        </w:tc>
      </w:tr>
      <w:tr w14:paraId="7287E0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76" w:type="dxa"/>
            <w:vMerge w:val="continue"/>
            <w:tcBorders>
              <w:tl2br w:val="nil"/>
              <w:tr2bl w:val="nil"/>
            </w:tcBorders>
            <w:vAlign w:val="center"/>
          </w:tcPr>
          <w:p w14:paraId="388EE1ED"/>
        </w:tc>
        <w:tc>
          <w:tcPr>
            <w:tcW w:w="1359" w:type="dxa"/>
            <w:tcBorders>
              <w:tl2br w:val="nil"/>
              <w:tr2bl w:val="nil"/>
            </w:tcBorders>
            <w:shd w:val="clear" w:color="auto" w:fill="auto"/>
            <w:vAlign w:val="center"/>
          </w:tcPr>
          <w:p w14:paraId="4D4DD6AA">
            <w:r>
              <w:rPr>
                <w:rFonts w:hint="eastAsia"/>
              </w:rPr>
              <w:t>普通用户管理</w:t>
            </w:r>
          </w:p>
        </w:tc>
        <w:tc>
          <w:tcPr>
            <w:tcW w:w="7336" w:type="dxa"/>
            <w:gridSpan w:val="2"/>
            <w:tcBorders>
              <w:tl2br w:val="nil"/>
              <w:tr2bl w:val="nil"/>
            </w:tcBorders>
            <w:shd w:val="clear" w:color="auto" w:fill="auto"/>
            <w:vAlign w:val="center"/>
          </w:tcPr>
          <w:p w14:paraId="484A714F">
            <w:r>
              <w:rPr>
                <w:rFonts w:hint="eastAsia"/>
              </w:rPr>
              <w:t>新建、编辑、导入普通用户信息</w:t>
            </w:r>
          </w:p>
        </w:tc>
      </w:tr>
    </w:tbl>
    <w:p w14:paraId="1559428C"/>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1B7D">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64870" cy="18732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64870" cy="187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28E1D">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75pt;width:68.1pt;mso-position-horizontal:center;mso-position-horizontal-relative:margin;mso-wrap-style:none;z-index:251659264;mso-width-relative:page;mso-height-relative:page;" filled="f" stroked="f" coordsize="21600,21600" o:gfxdata="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pqvdtMAAAAEAQAADwAAAAAAAAABACAAAAAiAAAAZHJzL2Rvd25yZXYueG1sUEsBAhQA&#10;FAAAAAgAh07iQNBCSn8wAgAAUwQAAA4AAAAAAAAAAQAgAAAAIgEAAGRycy9lMm9Eb2MueG1sUEsF&#10;BgAAAAAGAAYAWQEAAMQFAAAAAA==&#10;">
              <v:fill on="f" focussize="0,0"/>
              <v:stroke on="f" weight="0.5pt"/>
              <v:imagedata o:title=""/>
              <o:lock v:ext="edit" aspectratio="f"/>
              <v:textbox inset="0mm,0mm,0mm,0mm" style="mso-fit-shape-to-text:t;">
                <w:txbxContent>
                  <w:p w14:paraId="19928E1D">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791D1E"/>
    <w:multiLevelType w:val="multilevel"/>
    <w:tmpl w:val="3C791D1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wNTBmZGM2YTZmYjY1ZDkzZDcwNTM0YmFiYjU0MjQifQ=="/>
  </w:docVars>
  <w:rsids>
    <w:rsidRoot w:val="00534D8B"/>
    <w:rsid w:val="000100D1"/>
    <w:rsid w:val="00012614"/>
    <w:rsid w:val="0001558D"/>
    <w:rsid w:val="00017D52"/>
    <w:rsid w:val="00023DDE"/>
    <w:rsid w:val="00030CB2"/>
    <w:rsid w:val="0003783B"/>
    <w:rsid w:val="00047EBA"/>
    <w:rsid w:val="000967EF"/>
    <w:rsid w:val="000A2D49"/>
    <w:rsid w:val="000A5216"/>
    <w:rsid w:val="000C59CB"/>
    <w:rsid w:val="000D06FB"/>
    <w:rsid w:val="000D2D02"/>
    <w:rsid w:val="000E0EF4"/>
    <w:rsid w:val="00117999"/>
    <w:rsid w:val="00121AC3"/>
    <w:rsid w:val="00165D3B"/>
    <w:rsid w:val="001760E7"/>
    <w:rsid w:val="00181A9C"/>
    <w:rsid w:val="00181F5F"/>
    <w:rsid w:val="00191CE4"/>
    <w:rsid w:val="001A14B7"/>
    <w:rsid w:val="001B3070"/>
    <w:rsid w:val="001F1755"/>
    <w:rsid w:val="001F2B34"/>
    <w:rsid w:val="002073CB"/>
    <w:rsid w:val="00257D3B"/>
    <w:rsid w:val="002621E6"/>
    <w:rsid w:val="00262649"/>
    <w:rsid w:val="00274049"/>
    <w:rsid w:val="00274850"/>
    <w:rsid w:val="0027705B"/>
    <w:rsid w:val="002906E8"/>
    <w:rsid w:val="002A046D"/>
    <w:rsid w:val="002B0370"/>
    <w:rsid w:val="002C4F66"/>
    <w:rsid w:val="002E14D7"/>
    <w:rsid w:val="002E6FA0"/>
    <w:rsid w:val="002E7165"/>
    <w:rsid w:val="002F0CAB"/>
    <w:rsid w:val="002F65A9"/>
    <w:rsid w:val="00301795"/>
    <w:rsid w:val="00303E1D"/>
    <w:rsid w:val="0031068F"/>
    <w:rsid w:val="0031286B"/>
    <w:rsid w:val="00313055"/>
    <w:rsid w:val="0033542F"/>
    <w:rsid w:val="00337C81"/>
    <w:rsid w:val="003550CF"/>
    <w:rsid w:val="00356725"/>
    <w:rsid w:val="00363996"/>
    <w:rsid w:val="003640BB"/>
    <w:rsid w:val="00365433"/>
    <w:rsid w:val="00365C09"/>
    <w:rsid w:val="00371CAF"/>
    <w:rsid w:val="003745BA"/>
    <w:rsid w:val="00383600"/>
    <w:rsid w:val="0039359F"/>
    <w:rsid w:val="003C5554"/>
    <w:rsid w:val="003D5716"/>
    <w:rsid w:val="003E6C97"/>
    <w:rsid w:val="003F026C"/>
    <w:rsid w:val="0041502B"/>
    <w:rsid w:val="00443B6A"/>
    <w:rsid w:val="00463746"/>
    <w:rsid w:val="00495F59"/>
    <w:rsid w:val="004B5B9F"/>
    <w:rsid w:val="004C3A28"/>
    <w:rsid w:val="004C5277"/>
    <w:rsid w:val="004E4096"/>
    <w:rsid w:val="004F326F"/>
    <w:rsid w:val="00515475"/>
    <w:rsid w:val="00533AA9"/>
    <w:rsid w:val="00534D8B"/>
    <w:rsid w:val="005400BE"/>
    <w:rsid w:val="005454FC"/>
    <w:rsid w:val="0056111E"/>
    <w:rsid w:val="00570343"/>
    <w:rsid w:val="00570D92"/>
    <w:rsid w:val="0057325C"/>
    <w:rsid w:val="005769DA"/>
    <w:rsid w:val="00576DBE"/>
    <w:rsid w:val="00593559"/>
    <w:rsid w:val="005943AF"/>
    <w:rsid w:val="00596DAE"/>
    <w:rsid w:val="005A209E"/>
    <w:rsid w:val="005B0D57"/>
    <w:rsid w:val="005C095F"/>
    <w:rsid w:val="005D0091"/>
    <w:rsid w:val="005D5384"/>
    <w:rsid w:val="005E725B"/>
    <w:rsid w:val="0060061C"/>
    <w:rsid w:val="006103AB"/>
    <w:rsid w:val="00615E7C"/>
    <w:rsid w:val="00651220"/>
    <w:rsid w:val="0065254B"/>
    <w:rsid w:val="006651FB"/>
    <w:rsid w:val="00670C44"/>
    <w:rsid w:val="006A0DF2"/>
    <w:rsid w:val="006A6C9E"/>
    <w:rsid w:val="006B54CC"/>
    <w:rsid w:val="006C09AA"/>
    <w:rsid w:val="006F6256"/>
    <w:rsid w:val="00701510"/>
    <w:rsid w:val="00710CC7"/>
    <w:rsid w:val="00714CA0"/>
    <w:rsid w:val="00715900"/>
    <w:rsid w:val="00776025"/>
    <w:rsid w:val="007935F3"/>
    <w:rsid w:val="007974C4"/>
    <w:rsid w:val="007B7F7F"/>
    <w:rsid w:val="007C3F7A"/>
    <w:rsid w:val="007D2DAF"/>
    <w:rsid w:val="007E0E06"/>
    <w:rsid w:val="007E2E85"/>
    <w:rsid w:val="00807E93"/>
    <w:rsid w:val="00816634"/>
    <w:rsid w:val="00816851"/>
    <w:rsid w:val="008352BD"/>
    <w:rsid w:val="00844415"/>
    <w:rsid w:val="0088455E"/>
    <w:rsid w:val="008859A3"/>
    <w:rsid w:val="008A7030"/>
    <w:rsid w:val="008B0A5C"/>
    <w:rsid w:val="008B4B6E"/>
    <w:rsid w:val="008D4207"/>
    <w:rsid w:val="008D656C"/>
    <w:rsid w:val="008F783B"/>
    <w:rsid w:val="009048DF"/>
    <w:rsid w:val="009054E2"/>
    <w:rsid w:val="00910C6D"/>
    <w:rsid w:val="00962D1D"/>
    <w:rsid w:val="009717C3"/>
    <w:rsid w:val="009803F5"/>
    <w:rsid w:val="00987DA6"/>
    <w:rsid w:val="00987E0E"/>
    <w:rsid w:val="00991A8C"/>
    <w:rsid w:val="0099480E"/>
    <w:rsid w:val="009B25B3"/>
    <w:rsid w:val="009B613B"/>
    <w:rsid w:val="009C3871"/>
    <w:rsid w:val="009F2710"/>
    <w:rsid w:val="009F33B2"/>
    <w:rsid w:val="00A20D1A"/>
    <w:rsid w:val="00A243FB"/>
    <w:rsid w:val="00A3116B"/>
    <w:rsid w:val="00A438CF"/>
    <w:rsid w:val="00A46CB5"/>
    <w:rsid w:val="00A475FD"/>
    <w:rsid w:val="00A51457"/>
    <w:rsid w:val="00A57CD2"/>
    <w:rsid w:val="00A6186A"/>
    <w:rsid w:val="00A76320"/>
    <w:rsid w:val="00A81387"/>
    <w:rsid w:val="00A86E92"/>
    <w:rsid w:val="00A92CC8"/>
    <w:rsid w:val="00A9365B"/>
    <w:rsid w:val="00AA3702"/>
    <w:rsid w:val="00AC4BA9"/>
    <w:rsid w:val="00AD5A55"/>
    <w:rsid w:val="00AE48C2"/>
    <w:rsid w:val="00AE573A"/>
    <w:rsid w:val="00AF1FF1"/>
    <w:rsid w:val="00B005DF"/>
    <w:rsid w:val="00B064CE"/>
    <w:rsid w:val="00B10224"/>
    <w:rsid w:val="00B21158"/>
    <w:rsid w:val="00B313E9"/>
    <w:rsid w:val="00B3194B"/>
    <w:rsid w:val="00B626D6"/>
    <w:rsid w:val="00B72FDE"/>
    <w:rsid w:val="00B73E5F"/>
    <w:rsid w:val="00B74A11"/>
    <w:rsid w:val="00B94296"/>
    <w:rsid w:val="00B95D8D"/>
    <w:rsid w:val="00BA5798"/>
    <w:rsid w:val="00BE767F"/>
    <w:rsid w:val="00BF33EA"/>
    <w:rsid w:val="00C30A1F"/>
    <w:rsid w:val="00C34F54"/>
    <w:rsid w:val="00C44847"/>
    <w:rsid w:val="00C60668"/>
    <w:rsid w:val="00C65ED9"/>
    <w:rsid w:val="00CD00F1"/>
    <w:rsid w:val="00CF5D9F"/>
    <w:rsid w:val="00D15658"/>
    <w:rsid w:val="00D27E01"/>
    <w:rsid w:val="00D554E9"/>
    <w:rsid w:val="00D722B5"/>
    <w:rsid w:val="00D82996"/>
    <w:rsid w:val="00D86279"/>
    <w:rsid w:val="00D97171"/>
    <w:rsid w:val="00DA03B3"/>
    <w:rsid w:val="00DA1F4C"/>
    <w:rsid w:val="00DA3000"/>
    <w:rsid w:val="00DE1B89"/>
    <w:rsid w:val="00DE3521"/>
    <w:rsid w:val="00E069AD"/>
    <w:rsid w:val="00E105C7"/>
    <w:rsid w:val="00E3764B"/>
    <w:rsid w:val="00E47E0D"/>
    <w:rsid w:val="00E56968"/>
    <w:rsid w:val="00E62F82"/>
    <w:rsid w:val="00E66896"/>
    <w:rsid w:val="00E902EE"/>
    <w:rsid w:val="00E9088F"/>
    <w:rsid w:val="00E91168"/>
    <w:rsid w:val="00E958D4"/>
    <w:rsid w:val="00E973E8"/>
    <w:rsid w:val="00EA4418"/>
    <w:rsid w:val="00EA50EB"/>
    <w:rsid w:val="00EA6C34"/>
    <w:rsid w:val="00EB22B1"/>
    <w:rsid w:val="00EC5D7B"/>
    <w:rsid w:val="00ED6750"/>
    <w:rsid w:val="00EE1076"/>
    <w:rsid w:val="00EF1E21"/>
    <w:rsid w:val="00EF42F0"/>
    <w:rsid w:val="00F04502"/>
    <w:rsid w:val="00F14872"/>
    <w:rsid w:val="00F171DD"/>
    <w:rsid w:val="00F3613C"/>
    <w:rsid w:val="00F36A59"/>
    <w:rsid w:val="00F37F1D"/>
    <w:rsid w:val="00F44EA0"/>
    <w:rsid w:val="00F53DD2"/>
    <w:rsid w:val="00F56158"/>
    <w:rsid w:val="00F600AE"/>
    <w:rsid w:val="00F65DDA"/>
    <w:rsid w:val="00F84252"/>
    <w:rsid w:val="00F85884"/>
    <w:rsid w:val="00F94B0F"/>
    <w:rsid w:val="00FA0034"/>
    <w:rsid w:val="00FA08DC"/>
    <w:rsid w:val="00FC1082"/>
    <w:rsid w:val="00FC155C"/>
    <w:rsid w:val="00FE368D"/>
    <w:rsid w:val="00FF3161"/>
    <w:rsid w:val="02A46519"/>
    <w:rsid w:val="02BD4626"/>
    <w:rsid w:val="06C07699"/>
    <w:rsid w:val="06F7130D"/>
    <w:rsid w:val="07AA2E23"/>
    <w:rsid w:val="09BC7DF2"/>
    <w:rsid w:val="0CAD2AE8"/>
    <w:rsid w:val="0D200DA8"/>
    <w:rsid w:val="0D2210DB"/>
    <w:rsid w:val="10425F58"/>
    <w:rsid w:val="11DC7A7D"/>
    <w:rsid w:val="12296A3A"/>
    <w:rsid w:val="13507386"/>
    <w:rsid w:val="15FE1414"/>
    <w:rsid w:val="168F06C8"/>
    <w:rsid w:val="173B4A39"/>
    <w:rsid w:val="18733D89"/>
    <w:rsid w:val="18B44EA6"/>
    <w:rsid w:val="19EF0458"/>
    <w:rsid w:val="1A554BEB"/>
    <w:rsid w:val="1B5A40E2"/>
    <w:rsid w:val="1D425D3B"/>
    <w:rsid w:val="1ED60E32"/>
    <w:rsid w:val="1F784355"/>
    <w:rsid w:val="202064D2"/>
    <w:rsid w:val="22475BA8"/>
    <w:rsid w:val="22745AB0"/>
    <w:rsid w:val="25C14253"/>
    <w:rsid w:val="274F0AF7"/>
    <w:rsid w:val="2779286E"/>
    <w:rsid w:val="279873F0"/>
    <w:rsid w:val="29627C75"/>
    <w:rsid w:val="29861FC6"/>
    <w:rsid w:val="2A61740C"/>
    <w:rsid w:val="2A68050E"/>
    <w:rsid w:val="2AA67C60"/>
    <w:rsid w:val="2D72682B"/>
    <w:rsid w:val="2DCA48F1"/>
    <w:rsid w:val="2E85580D"/>
    <w:rsid w:val="2E8D176D"/>
    <w:rsid w:val="2E997692"/>
    <w:rsid w:val="31F41A75"/>
    <w:rsid w:val="33703F7A"/>
    <w:rsid w:val="36470209"/>
    <w:rsid w:val="365F2B07"/>
    <w:rsid w:val="368E64AB"/>
    <w:rsid w:val="36BB436E"/>
    <w:rsid w:val="37D22004"/>
    <w:rsid w:val="39B81668"/>
    <w:rsid w:val="3AB975A0"/>
    <w:rsid w:val="3C9E4CE3"/>
    <w:rsid w:val="3E465C95"/>
    <w:rsid w:val="3EF5367D"/>
    <w:rsid w:val="3FF15FC1"/>
    <w:rsid w:val="404168EE"/>
    <w:rsid w:val="404448BC"/>
    <w:rsid w:val="40796866"/>
    <w:rsid w:val="409B4DDC"/>
    <w:rsid w:val="42E6381C"/>
    <w:rsid w:val="44D75590"/>
    <w:rsid w:val="47612AA0"/>
    <w:rsid w:val="484C580B"/>
    <w:rsid w:val="4A3A04D8"/>
    <w:rsid w:val="4A89407D"/>
    <w:rsid w:val="4C3F1EBE"/>
    <w:rsid w:val="4D700689"/>
    <w:rsid w:val="4D9C23F1"/>
    <w:rsid w:val="4F3A1CD1"/>
    <w:rsid w:val="4F894420"/>
    <w:rsid w:val="4FA17652"/>
    <w:rsid w:val="50EA2AAA"/>
    <w:rsid w:val="52202621"/>
    <w:rsid w:val="52CD695C"/>
    <w:rsid w:val="54B36538"/>
    <w:rsid w:val="55085046"/>
    <w:rsid w:val="55723719"/>
    <w:rsid w:val="57753AD1"/>
    <w:rsid w:val="58D32331"/>
    <w:rsid w:val="5A525CF0"/>
    <w:rsid w:val="5AB12292"/>
    <w:rsid w:val="5AD1468F"/>
    <w:rsid w:val="5D80405C"/>
    <w:rsid w:val="5EA02F51"/>
    <w:rsid w:val="624C4FD7"/>
    <w:rsid w:val="638B683E"/>
    <w:rsid w:val="66D42B7D"/>
    <w:rsid w:val="673427AB"/>
    <w:rsid w:val="68672990"/>
    <w:rsid w:val="68BC6FB5"/>
    <w:rsid w:val="69510B93"/>
    <w:rsid w:val="69961F1A"/>
    <w:rsid w:val="6CB46DF9"/>
    <w:rsid w:val="6D680F23"/>
    <w:rsid w:val="6DFFA2DB"/>
    <w:rsid w:val="6E164BD0"/>
    <w:rsid w:val="6F7C4D78"/>
    <w:rsid w:val="701706C4"/>
    <w:rsid w:val="70FE5966"/>
    <w:rsid w:val="71867FE1"/>
    <w:rsid w:val="72A90315"/>
    <w:rsid w:val="75AE4B05"/>
    <w:rsid w:val="75AF67D3"/>
    <w:rsid w:val="770C10F9"/>
    <w:rsid w:val="772E7547"/>
    <w:rsid w:val="78D51559"/>
    <w:rsid w:val="79F05333"/>
    <w:rsid w:val="7A8358BE"/>
    <w:rsid w:val="7BC544F6"/>
    <w:rsid w:val="7C3D5842"/>
    <w:rsid w:val="7E0A6B29"/>
    <w:rsid w:val="7E810CFF"/>
    <w:rsid w:val="7ECE340D"/>
    <w:rsid w:val="7FC31560"/>
    <w:rsid w:val="B7E3B504"/>
    <w:rsid w:val="F7FFE3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330" w:lineRule="atLeast"/>
    </w:pPr>
    <w:rPr>
      <w:rFonts w:asciiTheme="minorHAnsi" w:hAnsiTheme="minorHAnsi" w:eastAsiaTheme="minorEastAsia" w:cstheme="minorBidi"/>
      <w:sz w:val="22"/>
      <w:szCs w:val="22"/>
      <w:lang w:val="en-US" w:eastAsia="zh-CN" w:bidi="ar-SA"/>
    </w:rPr>
  </w:style>
  <w:style w:type="paragraph" w:styleId="2">
    <w:name w:val="heading 5"/>
    <w:basedOn w:val="1"/>
    <w:next w:val="1"/>
    <w:link w:val="13"/>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unhideWhenUsed/>
    <w:qFormat/>
    <w:uiPriority w:val="99"/>
  </w:style>
  <w:style w:type="paragraph" w:styleId="4">
    <w:name w:val="Balloon Text"/>
    <w:basedOn w:val="1"/>
    <w:link w:val="20"/>
    <w:semiHidden/>
    <w:unhideWhenUsed/>
    <w:qFormat/>
    <w:uiPriority w:val="99"/>
    <w:pPr>
      <w:spacing w:line="240" w:lineRule="auto"/>
    </w:pPr>
    <w:rPr>
      <w:sz w:val="18"/>
      <w:szCs w:val="18"/>
    </w:rPr>
  </w:style>
  <w:style w:type="paragraph" w:styleId="5">
    <w:name w:val="footer"/>
    <w:basedOn w:val="1"/>
    <w:link w:val="17"/>
    <w:autoRedefine/>
    <w:unhideWhenUsed/>
    <w:qFormat/>
    <w:uiPriority w:val="99"/>
    <w:pPr>
      <w:tabs>
        <w:tab w:val="center" w:pos="4320"/>
        <w:tab w:val="right" w:pos="8640"/>
      </w:tabs>
      <w:spacing w:line="240" w:lineRule="auto"/>
    </w:pPr>
  </w:style>
  <w:style w:type="paragraph" w:styleId="6">
    <w:name w:val="header"/>
    <w:basedOn w:val="1"/>
    <w:link w:val="16"/>
    <w:autoRedefine/>
    <w:unhideWhenUsed/>
    <w:qFormat/>
    <w:uiPriority w:val="99"/>
    <w:pPr>
      <w:tabs>
        <w:tab w:val="center" w:pos="4320"/>
        <w:tab w:val="right" w:pos="8640"/>
      </w:tabs>
      <w:spacing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autoRedefine/>
    <w:unhideWhenUsed/>
    <w:qFormat/>
    <w:uiPriority w:val="99"/>
    <w:rPr>
      <w:sz w:val="21"/>
      <w:szCs w:val="21"/>
    </w:rPr>
  </w:style>
  <w:style w:type="character" w:customStyle="1" w:styleId="13">
    <w:name w:val="标题 5 Char"/>
    <w:basedOn w:val="10"/>
    <w:link w:val="2"/>
    <w:autoRedefine/>
    <w:qFormat/>
    <w:uiPriority w:val="9"/>
    <w:rPr>
      <w:rFonts w:ascii="Times New Roman" w:hAnsi="Times New Roman" w:eastAsia="Times New Roman" w:cs="Times New Roman"/>
      <w:b/>
      <w:bCs/>
      <w:sz w:val="20"/>
      <w:szCs w:val="20"/>
    </w:rPr>
  </w:style>
  <w:style w:type="character" w:customStyle="1" w:styleId="14">
    <w:name w:val="apple-converted-space"/>
    <w:basedOn w:val="10"/>
    <w:autoRedefine/>
    <w:qFormat/>
    <w:uiPriority w:val="0"/>
  </w:style>
  <w:style w:type="paragraph" w:customStyle="1" w:styleId="15">
    <w:name w:val="列表段落1"/>
    <w:basedOn w:val="1"/>
    <w:autoRedefine/>
    <w:qFormat/>
    <w:uiPriority w:val="34"/>
    <w:pPr>
      <w:ind w:left="720"/>
      <w:contextualSpacing/>
    </w:pPr>
  </w:style>
  <w:style w:type="character" w:customStyle="1" w:styleId="16">
    <w:name w:val="页眉 Char"/>
    <w:basedOn w:val="10"/>
    <w:link w:val="6"/>
    <w:autoRedefine/>
    <w:qFormat/>
    <w:uiPriority w:val="99"/>
  </w:style>
  <w:style w:type="character" w:customStyle="1" w:styleId="17">
    <w:name w:val="页脚 Char"/>
    <w:basedOn w:val="10"/>
    <w:link w:val="5"/>
    <w:autoRedefine/>
    <w:qFormat/>
    <w:uiPriority w:val="99"/>
    <w:rPr>
      <w:rFonts w:asciiTheme="minorHAnsi" w:hAnsiTheme="minorHAnsi" w:eastAsiaTheme="minorEastAsia" w:cstheme="minorBidi"/>
      <w:sz w:val="22"/>
      <w:szCs w:val="22"/>
    </w:rPr>
  </w:style>
  <w:style w:type="paragraph" w:customStyle="1" w:styleId="18">
    <w:name w:val="修订1"/>
    <w:autoRedefine/>
    <w:hidden/>
    <w:semiHidden/>
    <w:qFormat/>
    <w:uiPriority w:val="99"/>
    <w:rPr>
      <w:rFonts w:asciiTheme="minorHAnsi" w:hAnsiTheme="minorHAnsi" w:eastAsiaTheme="minorEastAsia" w:cstheme="minorBidi"/>
      <w:sz w:val="22"/>
      <w:szCs w:val="22"/>
      <w:lang w:val="en-US" w:eastAsia="zh-CN" w:bidi="ar-SA"/>
    </w:rPr>
  </w:style>
  <w:style w:type="paragraph" w:styleId="19">
    <w:name w:val="List Paragraph"/>
    <w:basedOn w:val="1"/>
    <w:qFormat/>
    <w:uiPriority w:val="99"/>
    <w:pPr>
      <w:ind w:firstLine="420" w:firstLineChars="200"/>
    </w:pPr>
  </w:style>
  <w:style w:type="character" w:customStyle="1" w:styleId="20">
    <w:name w:val="批注框文本 Char"/>
    <w:basedOn w:val="10"/>
    <w:link w:val="4"/>
    <w:semiHidden/>
    <w:qFormat/>
    <w:uiPriority w:val="99"/>
    <w:rPr>
      <w:rFonts w:asciiTheme="minorHAnsi" w:hAnsiTheme="minorHAnsi" w:eastAsiaTheme="minorEastAsia" w:cstheme="minorBidi"/>
      <w:sz w:val="18"/>
      <w:szCs w:val="18"/>
    </w:rPr>
  </w:style>
  <w:style w:type="paragraph" w:customStyle="1" w:styleId="21">
    <w:name w:val="Revision"/>
    <w:hidden/>
    <w:semiHidden/>
    <w:qFormat/>
    <w:uiPriority w:val="99"/>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7CDDEB-6267-4700-AC0C-F95EAEBEC998}">
  <ds:schemaRefs/>
</ds:datastoreItem>
</file>

<file path=docProps/app.xml><?xml version="1.0" encoding="utf-8"?>
<Properties xmlns="http://schemas.openxmlformats.org/officeDocument/2006/extended-properties" xmlns:vt="http://schemas.openxmlformats.org/officeDocument/2006/docPropsVTypes">
  <Template>Normal</Template>
  <Pages>9</Pages>
  <Words>4152</Words>
  <Characters>4476</Characters>
  <Lines>53</Lines>
  <Paragraphs>15</Paragraphs>
  <TotalTime>0</TotalTime>
  <ScaleCrop>false</ScaleCrop>
  <LinksUpToDate>false</LinksUpToDate>
  <CharactersWithSpaces>4892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2025-10-22T02:49:00Z</dcterms:created>
  <dc:creator>kevin</dc:creator>
  <cp:lastModifiedBy>易点易动固定资产管理系统-檀素娟</cp:lastModifiedBy>
  <dcterms:modified xsi:type="dcterms:W3CDTF">2025-10-22T03:20:21Z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71E1F371D3AF4A1FBB8B5E68693A3FE0_13</vt:lpwstr>
  </property>
  <property fmtid="{D5CDD505-2E9C-101B-9397-08002B2CF9AE}" pid="4" name="KSOTemplateDocerSaveRecord">
    <vt:lpwstr>eyJoZGlkIjoiYjg1MzNmNWRmZDg3Mjg5YmI0NjhlZmRmZWU1NWRhOTgiLCJ1c2VySWQiOiIxMjMyNDkxMTk4In0=</vt:lpwstr>
  </property>
  <property fmtid="{D5CDD505-2E9C-101B-9397-08002B2CF9AE}" pid="5" name="AIGC">
    <vt:lpwstr>{"Label":"1","ContentProducer":"001191110108330284923X10000","ProduceID":"review_355437","ReservedCode1":"9f27d07e4604389eea32030a85908f1d","ContentPropagator":"001191110108330284923X10000","PropagateID":"review_355437","ReservedCode2":""}</vt:lpwstr>
  </property>
</Properties>
</file>