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韩啸团队股权架构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</w:t>
      </w:r>
      <w:hyperlink r:id="rId4">
        <w:r>
          <w:rPr>
            <w:rFonts w:eastAsia="等线" w:ascii="Arial" w:cs="Arial" w:hAnsi="Arial"/>
            <w:color w:val="3370ff"/>
            <w:sz w:val="22"/>
          </w:rPr>
          <w:t xml:space="preserve">【定稿】韩啸长期激励方案 </w:t>
        </w:r>
      </w:hyperlink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</w:t>
      </w:r>
      <w:r>
        <w:rPr>
          <w:rFonts w:eastAsia="等线" w:ascii="Arial" w:cs="Arial" w:hAnsi="Arial"/>
          <w:b w:val="true"/>
          <w:sz w:val="36"/>
        </w:rPr>
        <w:t>股权架构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431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GP1、GP2：建议恺斯辰企管或恺斯辰指定主体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LP1:  资源贡献者确定情况下，直接以资源贡献者进行登记；不确定下以恺斯辰指定主体持有，资源贡献者确定后，以合伙份额转让方式授予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LP2：建议由韩笑持有，根据激励方案逐步授予员工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韩啸：通过新设持股平台持有绿融创合40%股权。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恺斯辰企管通过直接持有，对GP1、GP2的控制，合计可控制绿融创合60%股权，控制权稳定。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二、风险分析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一、 绿融创新 (合资公司) 后期风险分析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绿融创新作为业务运营主体，其风险主要源于其“合资公司”的属性以及“66%:34%”的股权结构。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1. 合作伙伴关系破裂风险（最高优先级）</w:t>
      </w:r>
      <w:bookmarkEnd w:id="3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风险描述</w:t>
      </w:r>
      <w:r>
        <w:rPr>
          <w:rFonts w:eastAsia="等线" w:ascii="Arial" w:cs="Arial" w:hAnsi="Arial"/>
          <w:sz w:val="22"/>
        </w:rPr>
        <w:t>：上海越见作为持有34%股权的重要合作方，通常在公司章程中拥有一票否决权（如修改章程、增资减资、重大资产处置等）。随着业务发展，双方在战略方向、利润分配、管理理念上的分歧会日益加剧。一旦矛盾激化，34%的否决权将成为“核武器”，导致公司陷入决策僵局，甚至停摆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初创公司案例</w:t>
      </w:r>
      <w:r>
        <w:rPr>
          <w:rFonts w:eastAsia="等线" w:ascii="Arial" w:cs="Arial" w:hAnsi="Arial"/>
          <w:sz w:val="22"/>
        </w:rPr>
        <w:t>：某知名生鲜电商早期由创始人团队（60%）与一家大型渠道商（40%）合资成立。初期合作顺利，但当公司需要转型做自有品牌时，渠道商为保护自身利益坚决反对，最终导致公司错失转型窗口期，估值大幅缩水。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应对建议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在合资协议中设立明确的“僵局解决机制”，如约定在重大事项上僵持不下时，可引入第三方仲裁或强制收购条款（Tag-Along/Drag-Along）。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建立定期、透明的沟通机制，确保双方信息对称，利益共享。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2. 业务依赖与独立性丧失风险</w:t>
      </w:r>
      <w:bookmarkEnd w:id="4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风险描述</w:t>
      </w:r>
      <w:r>
        <w:rPr>
          <w:rFonts w:eastAsia="等线" w:ascii="Arial" w:cs="Arial" w:hAnsi="Arial"/>
          <w:sz w:val="22"/>
        </w:rPr>
        <w:t>：根据激励方案，绿融创新主要承接“经廖博士介绍或关联的轻资产服务项目”。这意味着其业务源头高度依赖于外部资源（廖博士/上海越见）。长此以往，绿融创新将丧失独立开拓市场的能力，沦为一个“项目执行通道”，其估值和资本化潜力将大打折扣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初创公司案例</w:t>
      </w:r>
      <w:r>
        <w:rPr>
          <w:rFonts w:eastAsia="等线" w:ascii="Arial" w:cs="Arial" w:hAnsi="Arial"/>
          <w:sz w:val="22"/>
        </w:rPr>
        <w:t>：某SaaS公司早期与一家巨头企业成立合资公司，90%的订单来自该巨头。当巨头决定自研同类产品时，合资公司瞬间失去生存基础，被迫清算。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应对建议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在绑定外部股东资源的同时，逐步建立自己的获客渠道，将“独立获客能力”纳入韩啸团队的KPI考核体系，从源头上驱动业务多元化。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二、 绿融创合 (主体/控股公司) 后期风险分析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绿融创合作为控股和激励平台，其风险主要源于其“双重角色”（既是股东又是管理者）以及内部的股权结构。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1. 激励与控制权冲突风险</w:t>
      </w:r>
      <w:bookmarkEnd w:id="6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风险描述</w:t>
      </w:r>
      <w:r>
        <w:rPr>
          <w:rFonts w:eastAsia="等线" w:ascii="Arial" w:cs="Arial" w:hAnsi="Arial"/>
          <w:sz w:val="22"/>
        </w:rPr>
        <w:t>：方案中提到，恺斯辰企管通过直接持股和控制GP，合计可控制绿融创合60%股权。这与韩啸作为直接持股40%的核心激励对象存在一定冲突。韩啸可能会认为，自己承担了全部经营责任和风险，却无法掌握公司控制权，从而产生不公平感和消极情绪，导致激励失效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初创公司案例</w:t>
      </w:r>
      <w:r>
        <w:rPr>
          <w:rFonts w:eastAsia="等线" w:ascii="Arial" w:cs="Arial" w:hAnsi="Arial"/>
          <w:sz w:val="22"/>
        </w:rPr>
        <w:t>：某AI公司为吸引技术大牛，给予其35%股权，但创始团队通过AB股结构保留了70%的投票权。技术大牛在多次战略提案被否决后心灰意冷，带着核心团队离职创业，对公司造成毁灭性打击。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应对建议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明确控制权边界</w:t>
      </w:r>
      <w:r>
        <w:rPr>
          <w:rFonts w:eastAsia="等线" w:ascii="Arial" w:cs="Arial" w:hAnsi="Arial"/>
          <w:sz w:val="22"/>
        </w:rPr>
        <w:t>：在《股东协议》中清晰界定，恺斯辰的60%控制权仅适用于“融资、并购、上市、修改章程”等重大资本或结构性事项。对于日常经营管理、年度预算、人事任免等，充分授权给韩啸及其管理团队。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设置“黄金降落伞”条款</w:t>
      </w:r>
      <w:r>
        <w:rPr>
          <w:rFonts w:eastAsia="等线" w:ascii="Arial" w:cs="Arial" w:hAnsi="Arial"/>
          <w:sz w:val="22"/>
        </w:rPr>
        <w:t>：如果韩啸因与控股股东（恺斯辰）在重大战略上无法达成一致而被迫离职，应给予其丰厚的补偿，以降低人才流失带来的损失。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2. 股权稀释与团队稳定性风险</w:t>
      </w:r>
      <w:bookmarkEnd w:id="7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风险描述</w:t>
      </w:r>
      <w:r>
        <w:rPr>
          <w:rFonts w:eastAsia="等线" w:ascii="Arial" w:cs="Arial" w:hAnsi="Arial"/>
          <w:sz w:val="22"/>
        </w:rPr>
        <w:t>：如公司进行多轮融资老股东股权被稀释，韩啸40%股权可能被稀释到20%甚至更低，股权激励效果将大打折扣。同时，员工期权池（10%）如果管理不善，也可能引发老员工与新员工之间的利益冲突。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初创公司案例</w:t>
      </w:r>
      <w:r>
        <w:rPr>
          <w:rFonts w:eastAsia="等线" w:ascii="Arial" w:cs="Arial" w:hAnsi="Arial"/>
          <w:sz w:val="22"/>
        </w:rPr>
        <w:t>：某明星创业公司在B轮融资后，创始团队股权被稀释至30%以下，失去董事会多数席位。新投资人空降CEO，原核心团队陆续出走，公司文化彻底改变，业务一落千丈。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应对建议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设置“反稀释条款”</w:t>
      </w:r>
      <w:r>
        <w:rPr>
          <w:rFonts w:eastAsia="等线" w:ascii="Arial" w:cs="Arial" w:hAnsi="Arial"/>
          <w:sz w:val="22"/>
        </w:rPr>
        <w:t>：在后续融资时，为老股东设定一定的反稀释保护，确保其在公司中的相对地位不被过度削弱。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建立“滚动期权池”机制</w:t>
      </w:r>
      <w:r>
        <w:rPr>
          <w:rFonts w:eastAsia="等线" w:ascii="Arial" w:cs="Arial" w:hAnsi="Arial"/>
          <w:sz w:val="22"/>
        </w:rPr>
        <w:t>：每年从净利润中提取一定比例（如5%）作为新的期权池，用于激励新加入的核心人才，避免老员工的期权被过度稀释。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总结与终极建议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该股权架构</w:t>
      </w:r>
      <w:r>
        <w:rPr>
          <w:rFonts w:eastAsia="等线" w:ascii="Arial" w:cs="Arial" w:hAnsi="Arial"/>
          <w:b w:val="true"/>
          <w:sz w:val="22"/>
        </w:rPr>
        <w:t>在战略和激励层面已是当前约束条件下的“最优解”</w:t>
      </w:r>
      <w:r>
        <w:rPr>
          <w:rFonts w:eastAsia="等线" w:ascii="Arial" w:cs="Arial" w:hAnsi="Arial"/>
          <w:sz w:val="22"/>
        </w:rPr>
        <w:t>。它完美契合了《定稿》激励方案的核心精神，是绑定韩啸、驱动绿融创新价值增长的最佳架构。该架构</w:t>
      </w:r>
      <w:r>
        <w:rPr>
          <w:rFonts w:eastAsia="等线" w:ascii="Arial" w:cs="Arial" w:hAnsi="Arial"/>
          <w:b w:val="true"/>
          <w:sz w:val="22"/>
        </w:rPr>
        <w:t>最核心的风险，不是来自外部市场，而是来自内部的“人”和“机制”。对此，</w:t>
      </w:r>
      <w:r>
        <w:rPr>
          <w:rFonts w:eastAsia="等线" w:ascii="Arial" w:cs="Arial" w:hAnsi="Arial"/>
          <w:sz w:val="22"/>
        </w:rPr>
        <w:t>需要通过协议、后期管理构建一个“激励有效、治理有序、风险可控”的完美闭环。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1.《绿融创合股东协议》—— 解决“激励与控制”的冲突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：明确恺斯辰与韩啸的权力边界，确保韩啸在获得充分经营自主权的同时，恺斯辰能在重大资本事项上维护公司整体利益。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关键条款设计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股权分配：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韩啸作为经营负责人，总共授予40%的限制性股权；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首个周年日（即满 1 周年）为悬崖期，达到该时间节点后，一次性释放股权总量的 25%。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后续释放：通过悬崖期后，剩余未归属股权将在后续每个周年日，按每年 25% 的比例释放。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“动态分红”优化条款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明确“净利润&gt;300万后按股权比例分配规则：</w:t>
      </w:r>
    </w:p>
    <w:p>
      <w:pPr>
        <w:numPr>
          <w:numId w:val="3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净利润 ≤ 300万：韩啸团队分红比例 = 70%</w:t>
      </w:r>
    </w:p>
    <w:p>
      <w:pPr>
        <w:numPr>
          <w:numId w:val="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300万 &lt; 净利润 ≤ 500万：韩啸团队分红比例 = 70% - (净利润 - 300万) / 200万 * 20%</w:t>
      </w:r>
    </w:p>
    <w:p>
      <w:pPr>
        <w:numPr>
          <w:numId w:val="3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净利润 &gt; 500万：韩啸团队分红比例 = 50%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增设“超额利润分享池”</w:t>
      </w:r>
      <w:r>
        <w:rPr>
          <w:rFonts w:eastAsia="等线" w:ascii="Arial" w:cs="Arial" w:hAnsi="Arial"/>
          <w:sz w:val="22"/>
        </w:rPr>
        <w:t>：对于净利润超过300万的部分，提取20%作为“超额利润分享池”，由韩啸团队内部进行二次分配，以奖励其创造超额价值的努力。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“控制权”适用范围限定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明确恺斯辰所控制的60%股权，其投票权仅在以下事项中行使：</w:t>
      </w:r>
    </w:p>
    <w:p>
      <w:pPr>
        <w:numPr>
          <w:numId w:val="3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公司增资、减资、合并、分立、解散或变更公司形式；</w:t>
      </w:r>
    </w:p>
    <w:p>
      <w:pPr>
        <w:numPr>
          <w:numId w:val="3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修改公司章程；</w:t>
      </w:r>
    </w:p>
    <w:p>
      <w:pPr>
        <w:numPr>
          <w:numId w:val="3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公司进行IPO、被并购或发生其他控制权变更事件；</w:t>
      </w:r>
    </w:p>
    <w:p>
      <w:pPr>
        <w:numPr>
          <w:numId w:val="4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对外提供超过公司净资产10%的担保或借款。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在上述事项之外，恺斯辰同意其投票权与韩啸保持一致行动。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2.《经营体授权清单》—— 进一步落地韩啸经营权力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“授权经营”机制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恺斯辰发布《投资人管控事项清单》明确恺斯辰作为投资者对绿融创合经营管理事项边界，除非发生严重渎职或违法，否则不干预韩啸团队的正常经营决策。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绿融创合发布《经营授权清单》，明确绿融创需要董事（长）决策的事项清单，两个清单即为投资人和董事会权力边界，其余公司日常经营管理事项，充分授权韩啸及其管理团队。具体授权范围包括：年度经营计划与预算的制定与执行、部门负责人的任免、单笔低于XX万元的合同签署等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471736">
    <w:lvl>
      <w:numFmt w:val="bullet"/>
      <w:suff w:val="tab"/>
      <w:lvlText w:val="•"/>
      <w:rPr>
        <w:color w:val="3370ff"/>
      </w:rPr>
    </w:lvl>
  </w:abstractNum>
  <w:abstractNum w:abstractNumId="1471737">
    <w:lvl>
      <w:numFmt w:val="bullet"/>
      <w:suff w:val="tab"/>
      <w:lvlText w:val="•"/>
      <w:rPr>
        <w:color w:val="3370ff"/>
      </w:rPr>
    </w:lvl>
  </w:abstractNum>
  <w:abstractNum w:abstractNumId="1471738">
    <w:lvl>
      <w:numFmt w:val="bullet"/>
      <w:suff w:val="tab"/>
      <w:lvlText w:val="•"/>
      <w:rPr>
        <w:color w:val="3370ff"/>
      </w:rPr>
    </w:lvl>
  </w:abstractNum>
  <w:abstractNum w:abstractNumId="1471739">
    <w:lvl>
      <w:numFmt w:val="bullet"/>
      <w:suff w:val="tab"/>
      <w:lvlText w:val="•"/>
      <w:rPr>
        <w:color w:val="3370ff"/>
      </w:rPr>
    </w:lvl>
  </w:abstractNum>
  <w:abstractNum w:abstractNumId="1471740">
    <w:lvl>
      <w:numFmt w:val="bullet"/>
      <w:suff w:val="tab"/>
      <w:lvlText w:val="•"/>
      <w:rPr>
        <w:color w:val="3370ff"/>
      </w:rPr>
    </w:lvl>
  </w:abstractNum>
  <w:abstractNum w:abstractNumId="1471741">
    <w:lvl>
      <w:numFmt w:val="bullet"/>
      <w:suff w:val="tab"/>
      <w:lvlText w:val="•"/>
      <w:rPr>
        <w:color w:val="3370ff"/>
      </w:rPr>
    </w:lvl>
  </w:abstractNum>
  <w:abstractNum w:abstractNumId="1471742">
    <w:lvl>
      <w:numFmt w:val="bullet"/>
      <w:suff w:val="tab"/>
      <w:lvlText w:val="•"/>
      <w:rPr>
        <w:color w:val="3370ff"/>
      </w:rPr>
    </w:lvl>
  </w:abstractNum>
  <w:abstractNum w:abstractNumId="1471743">
    <w:lvl>
      <w:numFmt w:val="bullet"/>
      <w:suff w:val="tab"/>
      <w:lvlText w:val="•"/>
      <w:rPr>
        <w:color w:val="3370ff"/>
      </w:rPr>
    </w:lvl>
  </w:abstractNum>
  <w:abstractNum w:abstractNumId="1471744">
    <w:lvl>
      <w:numFmt w:val="bullet"/>
      <w:suff w:val="tab"/>
      <w:lvlText w:val="￮"/>
      <w:rPr>
        <w:color w:val="3370ff"/>
      </w:rPr>
    </w:lvl>
  </w:abstractNum>
  <w:abstractNum w:abstractNumId="1471745">
    <w:lvl>
      <w:numFmt w:val="bullet"/>
      <w:suff w:val="tab"/>
      <w:lvlText w:val="￮"/>
      <w:rPr>
        <w:color w:val="3370ff"/>
      </w:rPr>
    </w:lvl>
  </w:abstractNum>
  <w:abstractNum w:abstractNumId="1471746">
    <w:lvl>
      <w:numFmt w:val="bullet"/>
      <w:suff w:val="tab"/>
      <w:lvlText w:val="•"/>
      <w:rPr>
        <w:color w:val="3370ff"/>
      </w:rPr>
    </w:lvl>
  </w:abstractNum>
  <w:abstractNum w:abstractNumId="1471747">
    <w:lvl>
      <w:numFmt w:val="bullet"/>
      <w:suff w:val="tab"/>
      <w:lvlText w:val="•"/>
      <w:rPr>
        <w:color w:val="3370ff"/>
      </w:rPr>
    </w:lvl>
  </w:abstractNum>
  <w:abstractNum w:abstractNumId="1471748">
    <w:lvl>
      <w:numFmt w:val="bullet"/>
      <w:suff w:val="tab"/>
      <w:lvlText w:val="•"/>
      <w:rPr>
        <w:color w:val="3370ff"/>
      </w:rPr>
    </w:lvl>
  </w:abstractNum>
  <w:abstractNum w:abstractNumId="1471749">
    <w:lvl>
      <w:numFmt w:val="bullet"/>
      <w:suff w:val="tab"/>
      <w:lvlText w:val="￮"/>
      <w:rPr>
        <w:color w:val="3370ff"/>
      </w:rPr>
    </w:lvl>
  </w:abstractNum>
  <w:abstractNum w:abstractNumId="1471750">
    <w:lvl>
      <w:numFmt w:val="bullet"/>
      <w:suff w:val="tab"/>
      <w:lvlText w:val="•"/>
      <w:rPr>
        <w:color w:val="3370ff"/>
      </w:rPr>
    </w:lvl>
  </w:abstractNum>
  <w:abstractNum w:abstractNumId="1471751">
    <w:lvl>
      <w:numFmt w:val="bullet"/>
      <w:suff w:val="tab"/>
      <w:lvlText w:val="•"/>
      <w:rPr>
        <w:color w:val="3370ff"/>
      </w:rPr>
    </w:lvl>
  </w:abstractNum>
  <w:abstractNum w:abstractNumId="1471752">
    <w:lvl>
      <w:numFmt w:val="bullet"/>
      <w:suff w:val="tab"/>
      <w:lvlText w:val="•"/>
      <w:rPr>
        <w:color w:val="3370ff"/>
      </w:rPr>
    </w:lvl>
  </w:abstractNum>
  <w:abstractNum w:abstractNumId="1471753">
    <w:lvl>
      <w:numFmt w:val="bullet"/>
      <w:suff w:val="tab"/>
      <w:lvlText w:val="￮"/>
      <w:rPr>
        <w:color w:val="3370ff"/>
      </w:rPr>
    </w:lvl>
  </w:abstractNum>
  <w:abstractNum w:abstractNumId="1471754">
    <w:lvl>
      <w:numFmt w:val="bullet"/>
      <w:suff w:val="tab"/>
      <w:lvlText w:val="￮"/>
      <w:rPr>
        <w:color w:val="3370ff"/>
      </w:rPr>
    </w:lvl>
  </w:abstractNum>
  <w:abstractNum w:abstractNumId="1471755">
    <w:lvl>
      <w:numFmt w:val="bullet"/>
      <w:suff w:val="tab"/>
      <w:lvlText w:val="•"/>
      <w:rPr>
        <w:color w:val="3370ff"/>
      </w:rPr>
    </w:lvl>
  </w:abstractNum>
  <w:abstractNum w:abstractNumId="1471756">
    <w:lvl>
      <w:numFmt w:val="bullet"/>
      <w:suff w:val="tab"/>
      <w:lvlText w:val="•"/>
      <w:rPr>
        <w:color w:val="3370ff"/>
      </w:rPr>
    </w:lvl>
  </w:abstractNum>
  <w:abstractNum w:abstractNumId="1471757">
    <w:lvl>
      <w:numFmt w:val="bullet"/>
      <w:suff w:val="tab"/>
      <w:lvlText w:val="•"/>
      <w:rPr>
        <w:color w:val="3370ff"/>
      </w:rPr>
    </w:lvl>
  </w:abstractNum>
  <w:abstractNum w:abstractNumId="1471758">
    <w:lvl>
      <w:numFmt w:val="bullet"/>
      <w:suff w:val="tab"/>
      <w:lvlText w:val="￮"/>
      <w:rPr>
        <w:color w:val="3370ff"/>
      </w:rPr>
    </w:lvl>
  </w:abstractNum>
  <w:abstractNum w:abstractNumId="1471759">
    <w:lvl>
      <w:numFmt w:val="bullet"/>
      <w:suff w:val="tab"/>
      <w:lvlText w:val="￮"/>
      <w:rPr>
        <w:color w:val="3370ff"/>
      </w:rPr>
    </w:lvl>
  </w:abstractNum>
  <w:abstractNum w:abstractNumId="1471760">
    <w:lvl>
      <w:start w:val="1"/>
      <w:numFmt w:val="decimal"/>
      <w:suff w:val="tab"/>
      <w:lvlText w:val="%1."/>
      <w:rPr>
        <w:color w:val="3370ff"/>
      </w:rPr>
    </w:lvl>
  </w:abstractNum>
  <w:abstractNum w:abstractNumId="1471761">
    <w:lvl>
      <w:numFmt w:val="bullet"/>
      <w:suff w:val="tab"/>
      <w:lvlText w:val="￮"/>
      <w:rPr>
        <w:color w:val="3370ff"/>
      </w:rPr>
    </w:lvl>
  </w:abstractNum>
  <w:abstractNum w:abstractNumId="1471762">
    <w:lvl>
      <w:numFmt w:val="bullet"/>
      <w:suff w:val="tab"/>
      <w:lvlText w:val="￮"/>
      <w:rPr>
        <w:color w:val="3370ff"/>
      </w:rPr>
    </w:lvl>
  </w:abstractNum>
  <w:abstractNum w:abstractNumId="1471763">
    <w:lvl>
      <w:start w:val="1"/>
      <w:numFmt w:val="lowerLetter"/>
      <w:suff w:val="tab"/>
      <w:lvlText w:val="%1."/>
      <w:rPr>
        <w:color w:val="3370ff"/>
      </w:rPr>
    </w:lvl>
  </w:abstractNum>
  <w:abstractNum w:abstractNumId="1471764">
    <w:lvl>
      <w:start w:val="2"/>
      <w:numFmt w:val="decimal"/>
      <w:suff w:val="tab"/>
      <w:lvlText w:val="%1."/>
      <w:rPr>
        <w:color w:val="3370ff"/>
      </w:rPr>
    </w:lvl>
  </w:abstractNum>
  <w:abstractNum w:abstractNumId="1471765">
    <w:lvl>
      <w:numFmt w:val="bullet"/>
      <w:suff w:val="tab"/>
      <w:lvlText w:val="￮"/>
      <w:rPr>
        <w:color w:val="3370ff"/>
      </w:rPr>
    </w:lvl>
  </w:abstractNum>
  <w:abstractNum w:abstractNumId="1471766">
    <w:lvl>
      <w:numFmt w:val="bullet"/>
      <w:suff w:val="tab"/>
      <w:lvlText w:val="▪"/>
      <w:rPr>
        <w:color w:val="3370ff"/>
        <w:sz w:val="11"/>
      </w:rPr>
    </w:lvl>
  </w:abstractNum>
  <w:abstractNum w:abstractNumId="1471767">
    <w:lvl>
      <w:numFmt w:val="bullet"/>
      <w:suff w:val="tab"/>
      <w:lvlText w:val="▪"/>
      <w:rPr>
        <w:color w:val="3370ff"/>
        <w:sz w:val="11"/>
      </w:rPr>
    </w:lvl>
  </w:abstractNum>
  <w:abstractNum w:abstractNumId="1471768">
    <w:lvl>
      <w:numFmt w:val="bullet"/>
      <w:suff w:val="tab"/>
      <w:lvlText w:val="▪"/>
      <w:rPr>
        <w:color w:val="3370ff"/>
        <w:sz w:val="11"/>
      </w:rPr>
    </w:lvl>
  </w:abstractNum>
  <w:abstractNum w:abstractNumId="1471769">
    <w:lvl>
      <w:numFmt w:val="bullet"/>
      <w:suff w:val="tab"/>
      <w:lvlText w:val="￮"/>
      <w:rPr>
        <w:color w:val="3370ff"/>
      </w:rPr>
    </w:lvl>
  </w:abstractNum>
  <w:abstractNum w:abstractNumId="1471770">
    <w:lvl>
      <w:start w:val="3"/>
      <w:numFmt w:val="decimal"/>
      <w:suff w:val="tab"/>
      <w:lvlText w:val="%1."/>
      <w:rPr>
        <w:color w:val="3370ff"/>
      </w:rPr>
    </w:lvl>
  </w:abstractNum>
  <w:abstractNum w:abstractNumId="1471771">
    <w:lvl>
      <w:numFmt w:val="bullet"/>
      <w:suff w:val="tab"/>
      <w:lvlText w:val="￮"/>
      <w:rPr>
        <w:color w:val="3370ff"/>
      </w:rPr>
    </w:lvl>
  </w:abstractNum>
  <w:abstractNum w:abstractNumId="1471772">
    <w:lvl>
      <w:numFmt w:val="bullet"/>
      <w:suff w:val="tab"/>
      <w:lvlText w:val="▪"/>
      <w:rPr>
        <w:color w:val="3370ff"/>
        <w:sz w:val="11"/>
      </w:rPr>
    </w:lvl>
  </w:abstractNum>
  <w:abstractNum w:abstractNumId="1471773">
    <w:lvl>
      <w:numFmt w:val="bullet"/>
      <w:suff w:val="tab"/>
      <w:lvlText w:val="▪"/>
      <w:rPr>
        <w:color w:val="3370ff"/>
        <w:sz w:val="11"/>
      </w:rPr>
    </w:lvl>
  </w:abstractNum>
  <w:abstractNum w:abstractNumId="1471774">
    <w:lvl>
      <w:numFmt w:val="bullet"/>
      <w:suff w:val="tab"/>
      <w:lvlText w:val="▪"/>
      <w:rPr>
        <w:color w:val="3370ff"/>
        <w:sz w:val="11"/>
      </w:rPr>
    </w:lvl>
  </w:abstractNum>
  <w:abstractNum w:abstractNumId="1471775">
    <w:lvl>
      <w:numFmt w:val="bullet"/>
      <w:suff w:val="tab"/>
      <w:lvlText w:val="▪"/>
      <w:rPr>
        <w:color w:val="3370ff"/>
        <w:sz w:val="11"/>
      </w:rPr>
    </w:lvl>
  </w:abstractNum>
  <w:abstractNum w:abstractNumId="1471776">
    <w:lvl>
      <w:numFmt w:val="bullet"/>
      <w:suff w:val="tab"/>
      <w:lvlText w:val="￮"/>
      <w:rPr>
        <w:color w:val="3370ff"/>
      </w:rPr>
    </w:lvl>
  </w:abstractNum>
  <w:abstractNum w:abstractNumId="1471777">
    <w:lvl>
      <w:start w:val="1"/>
      <w:numFmt w:val="decimal"/>
      <w:suff w:val="tab"/>
      <w:lvlText w:val="%1."/>
      <w:rPr>
        <w:color w:val="3370ff"/>
      </w:rPr>
    </w:lvl>
  </w:abstractNum>
  <w:abstractNum w:abstractNumId="1471778">
    <w:lvl>
      <w:numFmt w:val="bullet"/>
      <w:suff w:val="tab"/>
      <w:lvlText w:val="￮"/>
      <w:rPr>
        <w:color w:val="3370ff"/>
      </w:rPr>
    </w:lvl>
  </w:abstractNum>
  <w:abstractNum w:abstractNumId="1471779">
    <w:lvl>
      <w:numFmt w:val="bullet"/>
      <w:suff w:val="tab"/>
      <w:lvlText w:val="￮"/>
      <w:rPr>
        <w:color w:val="3370ff"/>
      </w:rPr>
    </w:lvl>
  </w:abstractNum>
  <w:num w:numId="1">
    <w:abstractNumId w:val="1471736"/>
  </w:num>
  <w:num w:numId="2">
    <w:abstractNumId w:val="1471737"/>
  </w:num>
  <w:num w:numId="3">
    <w:abstractNumId w:val="1471738"/>
  </w:num>
  <w:num w:numId="4">
    <w:abstractNumId w:val="1471739"/>
  </w:num>
  <w:num w:numId="5">
    <w:abstractNumId w:val="1471740"/>
  </w:num>
  <w:num w:numId="6">
    <w:abstractNumId w:val="1471741"/>
  </w:num>
  <w:num w:numId="7">
    <w:abstractNumId w:val="1471742"/>
  </w:num>
  <w:num w:numId="8">
    <w:abstractNumId w:val="1471743"/>
  </w:num>
  <w:num w:numId="9">
    <w:abstractNumId w:val="1471744"/>
  </w:num>
  <w:num w:numId="10">
    <w:abstractNumId w:val="1471745"/>
  </w:num>
  <w:num w:numId="11">
    <w:abstractNumId w:val="1471746"/>
  </w:num>
  <w:num w:numId="12">
    <w:abstractNumId w:val="1471747"/>
  </w:num>
  <w:num w:numId="13">
    <w:abstractNumId w:val="1471748"/>
  </w:num>
  <w:num w:numId="14">
    <w:abstractNumId w:val="1471749"/>
  </w:num>
  <w:num w:numId="15">
    <w:abstractNumId w:val="1471750"/>
  </w:num>
  <w:num w:numId="16">
    <w:abstractNumId w:val="1471751"/>
  </w:num>
  <w:num w:numId="17">
    <w:abstractNumId w:val="1471752"/>
  </w:num>
  <w:num w:numId="18">
    <w:abstractNumId w:val="1471753"/>
  </w:num>
  <w:num w:numId="19">
    <w:abstractNumId w:val="1471754"/>
  </w:num>
  <w:num w:numId="20">
    <w:abstractNumId w:val="1471755"/>
  </w:num>
  <w:num w:numId="21">
    <w:abstractNumId w:val="1471756"/>
  </w:num>
  <w:num w:numId="22">
    <w:abstractNumId w:val="1471757"/>
  </w:num>
  <w:num w:numId="23">
    <w:abstractNumId w:val="1471758"/>
  </w:num>
  <w:num w:numId="24">
    <w:abstractNumId w:val="1471759"/>
  </w:num>
  <w:num w:numId="25">
    <w:abstractNumId w:val="1471760"/>
  </w:num>
  <w:num w:numId="26">
    <w:abstractNumId w:val="1471761"/>
  </w:num>
  <w:num w:numId="27">
    <w:abstractNumId w:val="1471762"/>
  </w:num>
  <w:num w:numId="28">
    <w:abstractNumId w:val="1471763"/>
  </w:num>
  <w:num w:numId="29">
    <w:abstractNumId w:val="1471764"/>
  </w:num>
  <w:num w:numId="30">
    <w:abstractNumId w:val="1471765"/>
  </w:num>
  <w:num w:numId="31">
    <w:abstractNumId w:val="1471766"/>
  </w:num>
  <w:num w:numId="32">
    <w:abstractNumId w:val="1471767"/>
  </w:num>
  <w:num w:numId="33">
    <w:abstractNumId w:val="1471768"/>
  </w:num>
  <w:num w:numId="34">
    <w:abstractNumId w:val="1471769"/>
  </w:num>
  <w:num w:numId="35">
    <w:abstractNumId w:val="1471770"/>
  </w:num>
  <w:num w:numId="36">
    <w:abstractNumId w:val="1471771"/>
  </w:num>
  <w:num w:numId="37">
    <w:abstractNumId w:val="1471772"/>
  </w:num>
  <w:num w:numId="38">
    <w:abstractNumId w:val="1471773"/>
  </w:num>
  <w:num w:numId="39">
    <w:abstractNumId w:val="1471774"/>
  </w:num>
  <w:num w:numId="40">
    <w:abstractNumId w:val="1471775"/>
  </w:num>
  <w:num w:numId="41">
    <w:abstractNumId w:val="1471776"/>
  </w:num>
  <w:num w:numId="42">
    <w:abstractNumId w:val="1471777"/>
  </w:num>
  <w:num w:numId="43">
    <w:abstractNumId w:val="1471778"/>
  </w:num>
  <w:num w:numId="44">
    <w:abstractNumId w:val="147177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vzyjg03bu3.feishu.cn/wiki/B5f0wjRIniaFCQkf1SBcA6Afntf" TargetMode="External" Type="http://schemas.openxmlformats.org/officeDocument/2006/relationships/hyperlink"/><Relationship Id="rId5" Target="media/image1.jpeg" Type="http://schemas.openxmlformats.org/officeDocument/2006/relationships/image"/><Relationship Id="rId6" Target="numbering.xml" Type="http://schemas.openxmlformats.org/officeDocument/2006/relationships/numbering"/><Relationship Id="rId7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2025-10-21T12:12:07Z</dcterms:created>
  <dc:creator>Apache POI</dc:creator>
</cp:coreProperties>
</file>