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买卖框架合同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甲方（买方）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名称：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统一社会信用代码：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乙方（卖方）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名称：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统一社会信用代码：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本合同各方经平等自愿协商，就采购事宜，签订本合同以共同遵守。 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货物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甲方向乙方采购的货物如下，实际采购数量以订单为准：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名称：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品种：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规格：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产地：</w:t>
      </w:r>
      <w:r>
        <w:rPr>
          <w:rFonts w:ascii="Simsun" w:hAnsi="Simsun" w:cs="Simsun"/>
          <w:color w:val="000000"/>
          <w:u w:val="single"/>
        </w:rPr>
        <w:t xml:space="preserve">  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sz w:val="24"/>
        </w:rPr>
        <w:t>采购价款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采购价款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每次采购价款以双方确认的订单为准。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结算付款方式</w:t>
      </w:r>
    </w:p>
    <w:p>
      <w:pPr>
        <w:pStyle w:val="NormalWeb"/>
        <w:numPr>
          <w:ilvl w:val="2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按月结算支付。</w:t>
      </w:r>
    </w:p>
    <w:p>
      <w:pPr>
        <w:pStyle w:val="NormalWeb"/>
        <w:numPr>
          <w:ilvl w:val="2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每月10日前结算支付上月已经验收的货物价款。</w:t>
      </w:r>
    </w:p>
    <w:p>
      <w:pPr>
        <w:pStyle w:val="NormalWeb"/>
        <w:numPr>
          <w:ilvl w:val="2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乙方应向甲方提供结算账单（列明价款明细）；甲方应于收到后3个工作日内审核，如无异议则视为认可。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乙方指定收款账号：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户名：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账号：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开户行：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发票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本合同中约定的价款或交易金额为含税金额，乙方应向甲方提供正规足额增值税专用发票。发票信息如下：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名称：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纳税人识别号：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地址、电话：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开户行及账号：</w:t>
      </w:r>
      <w:r>
        <w:rPr>
          <w:rFonts w:ascii="Simsun" w:hAnsi="Simsun" w:cs="Simsun"/>
          <w:color w:val="000000"/>
          <w:u w:val="single"/>
        </w:rPr>
        <w:t xml:space="preserve">    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订单成立方式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甲方根据需求通知乙方送货，乙方将货物交付给甲方时由双方签收确认。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双方同意以双方人员签收确认的《送货单》作为有效订单及结算货款的依据。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合同期限内采购量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合同期限内实际采购量以双方确认的订单数量为准。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合同期限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  <w:u w:val="single"/>
        </w:rPr>
        <w:t>自    年    月    日起（含当日）至    年    月    日（含当日）止</w:t>
      </w:r>
      <w:r>
        <w:rPr>
          <w:rFonts w:ascii="Simsun" w:hAnsi="Simsun" w:cs="Simsun"/>
          <w:color w:val="000000"/>
        </w:rPr>
        <w:t>。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质量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按该货物所适用的国家标准（强制性或推荐性标准）、行业标准、地方标准、生产企业标准执行，并以其中最高的标准为准。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虽有上述标准，但双方对质量有特殊或更高要求的，应按特殊或更高要求执行，无特别要求的，按上述标准执行。 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按样品交货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本合同签订时，双方同时封存四份货物样品，由双方人员在封存标签上签字封存样品，以该封存样品作为验收及发生争议时的质量标准。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交货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交货时间：以订单约定为准。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交货地点：甲方所在地；订单有特别约定的，以订单约定为准。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验收：交货当时进行外观、数量验收；交货后5日内进行质量验收。验收期内未提出异议的，视为质量无问题、验收通过。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质保期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乙方交货时，距离质保期满不得少于：</w:t>
      </w:r>
      <w:r>
        <w:rPr>
          <w:rFonts w:ascii="Simsun" w:hAnsi="Simsun" w:cs="Simsun"/>
          <w:color w:val="000000"/>
          <w:u w:val="single"/>
        </w:rPr>
        <w:t xml:space="preserve">  个月</w:t>
      </w:r>
      <w:r>
        <w:rPr>
          <w:rFonts w:ascii="Simsun" w:hAnsi="Simsun" w:cs="Simsun"/>
          <w:color w:val="000000"/>
        </w:rPr>
        <w:t>。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 xml:space="preserve"> 违约责任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甲方逾期付款的，每逾期一天，应按逾期金额的</w:t>
      </w:r>
      <w:r>
        <w:rPr>
          <w:rFonts w:ascii="Simsun" w:hAnsi="Simsun" w:cs="Simsun"/>
          <w:color w:val="000000"/>
          <w:u w:val="single"/>
        </w:rPr>
        <w:t>万分之五</w:t>
      </w:r>
      <w:r>
        <w:rPr>
          <w:rFonts w:ascii="Simsun" w:hAnsi="Simsun" w:cs="Simsun"/>
          <w:color w:val="000000"/>
        </w:rPr>
        <w:t>向乙方支付违约金，同时仍应履行付款义务。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逾期超过15日的，乙方有权解除该订单，要求甲方退还乙方交付的该订单的全部货物、设备与材料，并按照按</w:t>
      </w:r>
      <w:r>
        <w:rPr>
          <w:rFonts w:ascii="Simsun" w:hAnsi="Simsun" w:cs="Simsun"/>
          <w:color w:val="000000"/>
          <w:u w:val="single"/>
        </w:rPr>
        <w:t>该订单金额的20%</w:t>
      </w:r>
      <w:r>
        <w:rPr>
          <w:rFonts w:ascii="Simsun" w:hAnsi="Simsun" w:cs="Simsun"/>
          <w:color w:val="000000"/>
        </w:rPr>
        <w:t>向乙方支付违约金。违约金不足以赔偿乙方损失的，甲方还应赔偿乙方全部损失。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乙方逾期交货的，每逾期一天，应按相应货款金额的</w:t>
      </w:r>
      <w:r>
        <w:rPr>
          <w:rFonts w:ascii="Simsun" w:hAnsi="Simsun" w:cs="Simsun"/>
          <w:color w:val="000000"/>
          <w:u w:val="single"/>
        </w:rPr>
        <w:t>1%（百分之一）</w:t>
      </w:r>
      <w:r>
        <w:rPr>
          <w:rFonts w:ascii="Simsun" w:hAnsi="Simsun" w:cs="Simsun"/>
          <w:color w:val="000000"/>
        </w:rPr>
        <w:t>向甲方支付违约金，同时仍应履行交货义务。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逾期超过15天的，甲方有权解除该订单，要求乙方退还甲方支付的该订单的全部货款，并按照按</w:t>
      </w:r>
      <w:r>
        <w:rPr>
          <w:rFonts w:ascii="Simsun" w:hAnsi="Simsun" w:cs="Simsun"/>
          <w:color w:val="000000"/>
          <w:u w:val="single"/>
        </w:rPr>
        <w:t>该订单金额的20%</w:t>
      </w:r>
      <w:r>
        <w:rPr>
          <w:rFonts w:ascii="Simsun" w:hAnsi="Simsun" w:cs="Simsun"/>
          <w:color w:val="000000"/>
        </w:rPr>
        <w:t>向甲方支付违约金。违约金不足以赔偿甲方损失的，乙方还应赔偿甲方全部损失。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任何一方有其他违反本合同情形的，应赔偿守约方全部损失。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争议解决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因本合同以及本合同项下订单/附件/补充协议等（如有）引起或有关的任何争议，由合同各方协商解决</w:t>
      </w:r>
      <w:r>
        <w:rPr>
          <w:rFonts w:ascii="Simsun" w:hAnsi="Simsun" w:cs="Simsun"/>
          <w:color w:val="000000"/>
        </w:rPr>
        <w:t>，也可由有关部门调解。协商或调解不成的，应向</w:t>
      </w:r>
      <w:r>
        <w:rPr>
          <w:rFonts w:ascii="Simsun" w:hAnsi="Simsun" w:cs="Simsun"/>
          <w:color w:val="000000"/>
          <w:u w:val="single"/>
        </w:rPr>
        <w:t xml:space="preserve">    所在地</w:t>
      </w:r>
      <w:r>
        <w:rPr>
          <w:rFonts w:ascii="Simsun" w:hAnsi="Simsun" w:cs="Simsun"/>
          <w:color w:val="000000"/>
        </w:rPr>
        <w:t>有管辖权的人民法院起诉。</w:t>
      </w:r>
    </w:p>
    <w:p>
      <w:pPr>
        <w:pStyle w:val="Heading3"/>
        <w:numPr>
          <w:ilvl w:val="0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</w:rPr>
        <w:t>附则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本合同一式二份，合同各方各执一份。各份合同文本具有同等法律效力。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双方确认的订单与本合同不一致的，以订单为准。</w:t>
      </w:r>
    </w:p>
    <w:p>
      <w:pPr>
        <w:pStyle w:val="NormalWeb"/>
        <w:numPr>
          <w:ilvl w:val="1"/>
          <w:numId w:val="31"/>
        </w:numPr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本合同经各方签名或盖章后生效。</w:t>
      </w:r>
    </w:p>
    <w:p>
      <w:pPr>
        <w:pStyle w:val="NormalWeb"/>
        <w:spacing w:after="0" w:before="0" w:afterAutospacing="false" w:beforeAutospacing="false" w:line="360" w:lineRule="auto"/>
        <w:jc w:val="center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（以下无合同正文）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签订时间：    年    月    日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甲方（盖章）：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法定代表人或授权代表：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b w:val="true"/>
          <w:color w:val="000000"/>
        </w:rPr>
        <w:t>乙方（盖章）：</w:t>
      </w:r>
    </w:p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法定代表人或授权代表：</w:t>
      </w:r>
    </w:p>
    <w:sectPr>
      <w:pgSz w:h="16845" w:w="11895" w:orient="portrait"/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1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0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1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2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3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4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5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6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7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8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29">
    <w:multiLevelType w:val="hybridMultilevel"/>
    <w:lvl w:ilvl="0">
      <w:start w:val="1"/>
      <w:numFmt w:val="custom"/>
      <w:isLgl w:val="false"/>
      <w:lvlText w:val="%1."/>
      <w:pPr>
        <w:ind w:hanging="360" w:left="720"/>
      </w:pPr>
      <w:rPr/>
    </w:lvl>
    <w:lvl w:ilvl="1">
      <w:start w:val="1"/>
      <w:numFmt w:val="custom"/>
      <w:isLgl w:val="false"/>
      <w:lvlText w:val="%2."/>
      <w:pPr>
        <w:ind w:hanging="360" w:left="1080"/>
      </w:pPr>
      <w:rPr/>
    </w:lvl>
    <w:lvl w:ilvl="2">
      <w:start w:val="1"/>
      <w:numFmt w:val="custom"/>
      <w:isLgl w:val="false"/>
      <w:lvlText w:val="%3."/>
      <w:pPr>
        <w:ind w:hanging="360" w:left="1440"/>
      </w:pPr>
      <w:rPr/>
    </w:lvl>
    <w:lvl w:ilvl="3">
      <w:start w:val="1"/>
      <w:numFmt w:val="custom"/>
      <w:isLgl w:val="false"/>
      <w:lvlText w:val="%4."/>
      <w:pPr>
        <w:ind w:hanging="360" w:left="1800"/>
      </w:pPr>
      <w:rPr/>
    </w:lvl>
    <w:lvl w:ilvl="4">
      <w:start w:val="1"/>
      <w:numFmt w:val="custom"/>
      <w:isLgl w:val="false"/>
      <w:lvlText w:val="%5."/>
      <w:pPr>
        <w:ind w:hanging="360" w:left="2160"/>
      </w:pPr>
      <w:rPr/>
    </w:lvl>
    <w:lvl w:ilvl="5">
      <w:start w:val="1"/>
      <w:numFmt w:val="custom"/>
      <w:isLgl w:val="false"/>
      <w:lvlText w:val="%6."/>
      <w:pPr>
        <w:ind w:hanging="360" w:left="2520"/>
      </w:pPr>
      <w:rPr/>
    </w:lvl>
    <w:lvl w:ilvl="6">
      <w:start w:val="1"/>
      <w:numFmt w:val="custom"/>
      <w:isLgl w:val="false"/>
      <w:lvlText w:val="%7."/>
      <w:pPr>
        <w:ind w:hanging="360" w:left="2880"/>
      </w:pPr>
      <w:rPr/>
    </w:lvl>
    <w:lvl w:ilvl="7">
      <w:start w:val="1"/>
      <w:numFmt w:val="custom"/>
      <w:isLgl w:val="false"/>
      <w:lvlText w:val="%8."/>
      <w:pPr>
        <w:ind w:hanging="360" w:left="3240"/>
      </w:pPr>
      <w:rPr/>
    </w:lvl>
    <w:lvl w:ilvl="8">
      <w:start w:val="1"/>
      <w:numFmt w:val="custom"/>
      <w:isLgl w:val="false"/>
      <w:lvlText w:val="%9."/>
      <w:pPr>
        <w:ind w:hanging="360" w:left="3600"/>
      </w:pPr>
      <w:rPr/>
    </w:lvl>
  </w:abstractNum>
  <w:abstractNum w:abstractNumId="30">
    <w:multiLevelType w:val="hybridMultilevel"/>
    <w:lvl w:ilvl="0">
      <w:start w:val="1"/>
      <w:numFmt w:val="decimalHalfWidth"/>
      <w:isLgl w:val="false"/>
      <w:lvlText w:val="%1."/>
      <w:pPr>
        <w:ind w:left="0"/>
      </w:pPr>
      <w:rPr/>
    </w:lvl>
    <w:lvl w:ilvl="1">
      <w:start w:val="1"/>
      <w:numFmt w:val="decimalHalfWidth"/>
      <w:isLgl w:val="false"/>
      <w:lvlText w:val="%1.%2."/>
      <w:pPr>
        <w:ind w:left="0"/>
      </w:pPr>
      <w:rPr/>
    </w:lvl>
    <w:lvl w:ilvl="2">
      <w:start w:val="1"/>
      <w:numFmt w:val="decimalHalfWidth"/>
      <w:isLgl w:val="false"/>
      <w:lvlText w:val="%1.%2.%3."/>
      <w:pPr>
        <w:ind w:left="0"/>
      </w:pPr>
      <w:rPr/>
    </w:lvl>
    <w:lvl w:ilvl="3">
      <w:start w:val="1"/>
      <w:numFmt w:val="decimalHalfWidth"/>
      <w:isLgl w:val="false"/>
      <w:lvlText w:val="%1.%2.%3.%4."/>
      <w:pPr>
        <w:ind w:left="0"/>
      </w:pPr>
      <w:rPr/>
    </w:lvl>
    <w:lvl w:ilvl="4">
      <w:start w:val="1"/>
      <w:numFmt w:val="decimalHalfWidth"/>
      <w:isLgl w:val="false"/>
      <w:lvlText w:val="%1.%2.%3.%4.%5."/>
      <w:pPr>
        <w:ind w:left="0"/>
      </w:pPr>
      <w:rPr/>
    </w:lvl>
    <w:lvl w:ilvl="5">
      <w:start w:val="1"/>
      <w:numFmt w:val="decimalHalfWidth"/>
      <w:isLgl w:val="false"/>
      <w:lvlText w:val="%1.%2.%3.%4.%5.%6."/>
      <w:pPr>
        <w:ind w:left="0"/>
      </w:pPr>
      <w:rPr/>
    </w:lvl>
    <w:lvl w:ilvl="6">
      <w:start w:val="1"/>
      <w:numFmt w:val="decimalHalfWidth"/>
      <w:isLgl w:val="false"/>
      <w:lvlText w:val="%1.%2.%3.%4.%5.%6.%7."/>
      <w:pPr>
        <w:ind w:left="0"/>
      </w:pPr>
      <w:rPr/>
    </w:lvl>
    <w:lvl w:ilvl="7">
      <w:start w:val="1"/>
      <w:numFmt w:val="decimalHalfWidth"/>
      <w:isLgl w:val="false"/>
      <w:lvlText w:val="%1.%2.%3.%4.%5.%6.%7.%8."/>
      <w:pPr>
        <w:ind w:left="0"/>
      </w:pPr>
      <w:rPr/>
    </w:lvl>
    <w:lvl w:ilvl="8">
      <w:start w:val="1"/>
      <w:numFmt w:val="decimalHalfWidth"/>
      <w:isLgl w:val="false"/>
      <w:lvlText w:val="%1.%2.%3.%4.%5.%6.%7.%8.%9."/>
      <w:pPr>
        <w:ind w:left="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1" w:type="paragraph" w:default="false" w:customStyle="false">
    <w:name w:val="Heading 1"/>
    <w:basedOn w:val="Normal"/>
    <w:next w:val="Normal"/>
    <w:link w:val="Heading1Char"/>
    <w:uiPriority w:val="9"/>
    <w:qFormat w:val="true"/>
    <w:pPr>
      <w:keepLines w:val="true"/>
      <w:spacing w:after="280" w:before="280" w:afterAutospacing="false" w:beforeAutospacing="false"/>
      <w:jc w:val="center"/>
      <w:outlineLvl w:val="9"/>
    </w:pPr>
    <w:rPr>
      <w:b w:val="true"/>
      <w:color w:val="000000"/>
      <w:sz w:val="36"/>
    </w:rPr>
  </w:style>
  <w:style w:styleId="Heading3" w:type="paragraph" w:default="false" w:customStyle="false">
    <w:name w:val="Heading 3"/>
    <w:basedOn w:val="Normal"/>
    <w:next w:val="Normal"/>
    <w:link w:val="Heading3Char"/>
    <w:uiPriority w:val="9"/>
    <w:qFormat w:val="true"/>
    <w:pPr>
      <w:keepLines w:val="true"/>
      <w:spacing w:after="280" w:before="280" w:afterAutospacing="false" w:beforeAutospacing="false"/>
      <w:outlineLvl w:val="1"/>
    </w:pPr>
    <w:rPr>
      <w:b w:val="true"/>
      <w:color w:val="000000"/>
      <w:sz w:val="28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1.货物买卖框架合同（极简版）</dc:title>
  <dc:creator>法天使</dc:creator>
</cp:coreProperties>
</file>