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华锐智呈控制权专项风险防控方案</w:t>
      </w: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：在华锐智呈100%股权转让给管理层SPV后，确保原投资人仍拥有对核心资产的</w:t>
      </w:r>
      <w:r>
        <w:rPr>
          <w:rFonts w:eastAsia="等线" w:ascii="Arial" w:cs="Arial" w:hAnsi="Arial"/>
          <w:b w:val="true"/>
          <w:sz w:val="22"/>
        </w:rPr>
        <w:t>实际支配力</w:t>
      </w:r>
      <w:r>
        <w:rPr>
          <w:rFonts w:eastAsia="等线" w:ascii="Arial" w:cs="Arial" w:hAnsi="Arial"/>
          <w:sz w:val="22"/>
        </w:rPr>
        <w:t>，防止资产流失或管理层失控。</w:t>
      </w:r>
    </w:p>
    <w:p>
      <w:pPr>
        <w:pStyle w:val="1"/>
        <w:spacing w:before="380" w:after="140" w:line="288" w:lineRule="auto"/>
        <w:ind w:left="0"/>
        <w:jc w:val="left"/>
        <w:outlineLvl w:val="0"/>
      </w:pPr>
      <w:bookmarkStart w:name="heading_0" w:id="0"/>
      <w:r>
        <w:rPr>
          <w:rFonts w:eastAsia="等线" w:ascii="Arial" w:cs="Arial" w:hAnsi="Arial"/>
          <w:b w:val="true"/>
          <w:sz w:val="36"/>
        </w:rPr>
        <w:t>一、股权架构</w:t>
      </w:r>
      <w:bookmarkEnd w:id="0"/>
    </w:p>
    <w:p>
      <w:pPr>
        <w:spacing w:before="120" w:after="120" w:line="288" w:lineRule="auto"/>
        <w:ind w:left="0"/>
        <w:jc w:val="left"/>
      </w:pPr>
      <w:r>
        <w:rPr>
          <w:rFonts w:eastAsia="等线" w:ascii="Arial" w:cs="Arial" w:hAnsi="Arial"/>
          <w:sz w:val="22"/>
        </w:rPr>
        <w:t>基于“无实控人”要求，在三名管理层人员的情况，建议的股权比例如下：</w:t>
      </w:r>
    </w:p>
    <w:p>
      <w:pPr>
        <w:spacing w:before="120" w:after="120" w:line="288" w:lineRule="auto"/>
        <w:ind w:left="0"/>
        <w:jc w:val="center"/>
      </w:pPr>
      <w:r>
        <w:drawing>
          <wp:inline distT="0" distR="0" distB="0" distL="0">
            <wp:extent cx="5257800" cy="2867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67025"/>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无实控人通常指单一股东持股不超过50%甚至30%，且无法支配公司决策。</w:t>
            </w:r>
          </w:p>
          <w:p>
            <w:pPr>
              <w:spacing w:before="120" w:after="120" w:line="288" w:lineRule="auto"/>
              <w:ind w:left="0"/>
              <w:jc w:val="left"/>
            </w:pPr>
            <w:r>
              <w:rPr>
                <w:rFonts w:eastAsia="等线" w:ascii="Arial" w:cs="Arial" w:hAnsi="Arial"/>
                <w:color w:val="646a73"/>
                <w:sz w:val="22"/>
              </w:rPr>
              <w:t>实线部分为需对外公示，虚线部分无须对外公示。</w:t>
            </w:r>
          </w:p>
        </w:tc>
      </w:tr>
    </w:tbl>
    <w:p>
      <w:pPr>
        <w:pStyle w:val="2"/>
        <w:spacing w:before="320" w:after="120" w:line="288" w:lineRule="auto"/>
        <w:ind w:left="0"/>
        <w:jc w:val="left"/>
        <w:outlineLvl w:val="1"/>
      </w:pPr>
      <w:bookmarkStart w:name="heading_1" w:id="1"/>
      <w:r>
        <w:rPr>
          <w:rFonts w:eastAsia="等线" w:ascii="Arial" w:cs="Arial" w:hAnsi="Arial"/>
          <w:b w:val="true"/>
          <w:sz w:val="32"/>
        </w:rPr>
        <w:t>二、风险及控制措施</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第一层：持股主体的直接协议安排</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30"/>
        <w:gridCol w:w="4650"/>
      </w:tblGrid>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代持：</w:t>
            </w:r>
            <w:r>
              <w:rPr>
                <w:rFonts w:eastAsia="等线" w:ascii="Arial" w:cs="Arial" w:hAnsi="Arial"/>
                <w:sz w:val="22"/>
              </w:rPr>
              <w:t>股权归实际权益人，登记人受托代持人</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真实持有：</w:t>
            </w:r>
            <w:r>
              <w:rPr>
                <w:rFonts w:eastAsia="等线" w:ascii="Arial" w:cs="Arial" w:hAnsi="Arial"/>
                <w:sz w:val="22"/>
              </w:rPr>
              <w:t>股权为登记人真实持有</w:t>
            </w: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协议：</w:t>
            </w:r>
            <w:r>
              <w:rPr>
                <w:rFonts w:eastAsia="等线" w:ascii="Arial" w:cs="Arial" w:hAnsi="Arial"/>
                <w:sz w:val="22"/>
              </w:rPr>
              <w:t>实际权益人与登记人签署代持协议</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协议：</w:t>
            </w:r>
            <w:r>
              <w:rPr>
                <w:rFonts w:eastAsia="等线" w:ascii="Arial" w:cs="Arial" w:hAnsi="Arial"/>
                <w:sz w:val="22"/>
              </w:rPr>
              <w:t>可转债协议+股权质押</w:t>
            </w: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可不对外披露，完全确保真实权益人隐名</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避免登记人自身风险传导，可对抗第三人</w:t>
            </w: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r>
              <w:rPr>
                <w:rFonts w:eastAsia="等线" w:ascii="Arial" w:cs="Arial" w:hAnsi="Arial"/>
                <w:sz w:val="22"/>
              </w:rPr>
              <w:t>不能对抗善意第三人</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r>
              <w:rPr>
                <w:rFonts w:eastAsia="等线" w:ascii="Arial" w:cs="Arial" w:hAnsi="Arial"/>
                <w:sz w:val="22"/>
              </w:rPr>
              <w:t>需对外公示，可能引发实际控制人另有他人的猜想</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建议安排：</w:t>
            </w:r>
          </w:p>
          <w:p>
            <w:pPr>
              <w:spacing w:before="120" w:after="120" w:line="288" w:lineRule="auto"/>
              <w:ind w:left="0"/>
              <w:jc w:val="left"/>
            </w:pPr>
            <w:r>
              <w:rPr>
                <w:rFonts w:eastAsia="等线" w:ascii="Arial" w:cs="Arial" w:hAnsi="Arial"/>
                <w:sz w:val="22"/>
              </w:rPr>
              <w:t>1.罗、姚股权安排为代持——</w:t>
            </w:r>
            <w:r>
              <w:rPr>
                <w:rFonts w:eastAsia="等线" w:ascii="Arial" w:cs="Arial" w:hAnsi="Arial"/>
                <w:b w:val="true"/>
                <w:sz w:val="22"/>
              </w:rPr>
              <w:t>重点关注私自处置股权或被第三方主张权益</w:t>
            </w:r>
          </w:p>
          <w:p>
            <w:pPr>
              <w:spacing w:before="120" w:after="120" w:line="288" w:lineRule="auto"/>
              <w:ind w:left="0"/>
              <w:jc w:val="left"/>
            </w:pPr>
            <w:r>
              <w:rPr>
                <w:rFonts w:eastAsia="等线" w:ascii="Arial" w:cs="Arial" w:hAnsi="Arial"/>
                <w:sz w:val="22"/>
              </w:rPr>
              <w:t>建议提供：财产共有人签署股权代持知晓函。</w:t>
            </w:r>
          </w:p>
          <w:p>
            <w:pPr>
              <w:spacing w:before="120" w:after="120" w:line="288" w:lineRule="auto"/>
              <w:ind w:left="0"/>
              <w:jc w:val="left"/>
            </w:pPr>
            <w:r>
              <w:rPr>
                <w:rFonts w:eastAsia="等线" w:ascii="Arial" w:cs="Arial" w:hAnsi="Arial"/>
                <w:sz w:val="22"/>
              </w:rPr>
              <w:t>2.周股权为可转债协议+股权质押——</w:t>
            </w:r>
            <w:r>
              <w:rPr>
                <w:rFonts w:eastAsia="等线" w:ascii="Arial" w:cs="Arial" w:hAnsi="Arial"/>
                <w:b w:val="true"/>
                <w:sz w:val="22"/>
              </w:rPr>
              <w:t>重点关注治理僵局</w:t>
            </w:r>
          </w:p>
          <w:p>
            <w:pPr>
              <w:spacing w:before="120" w:after="120" w:line="288" w:lineRule="auto"/>
              <w:ind w:left="0"/>
              <w:jc w:val="left"/>
            </w:pPr>
            <w:r>
              <w:rPr>
                <w:rFonts w:eastAsia="等线" w:ascii="Arial" w:cs="Arial" w:hAnsi="Arial"/>
                <w:sz w:val="22"/>
              </w:rPr>
              <w:t>进一步通过治理层安排应对治理僵局。</w:t>
            </w:r>
          </w:p>
        </w:tc>
        <w:tc>
          <w:tcPr>
            <w:tcW w:w="4650"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 w:id="3"/>
      <w:r>
        <w:rPr>
          <w:rFonts w:eastAsia="等线" w:ascii="Arial" w:cs="Arial" w:hAnsi="Arial"/>
          <w:b w:val="true"/>
          <w:sz w:val="30"/>
        </w:rPr>
        <w:t>第二层：治理层的安排</w:t>
      </w:r>
      <w:bookmarkEnd w:id="3"/>
    </w:p>
    <w:p>
      <w:pPr>
        <w:numPr>
          <w:numId w:val="1"/>
        </w:numPr>
        <w:spacing w:before="120" w:after="120" w:line="288" w:lineRule="auto"/>
        <w:ind w:left="0"/>
        <w:jc w:val="left"/>
      </w:pPr>
      <w:r>
        <w:rPr>
          <w:rFonts w:eastAsia="等线" w:ascii="Arial" w:cs="Arial" w:hAnsi="Arial"/>
          <w:sz w:val="22"/>
        </w:rPr>
        <w:t xml:space="preserve"> SPV1出具股东会决议：</w:t>
      </w:r>
    </w:p>
    <w:p>
      <w:pPr>
        <w:numPr>
          <w:numId w:val="2"/>
        </w:numPr>
        <w:spacing w:before="120" w:after="120" w:line="288" w:lineRule="auto"/>
        <w:ind w:left="0"/>
        <w:jc w:val="left"/>
      </w:pPr>
      <w:r>
        <w:rPr>
          <w:rFonts w:eastAsia="等线" w:ascii="Arial" w:cs="Arial" w:hAnsi="Arial"/>
          <w:sz w:val="22"/>
        </w:rPr>
        <w:t>认定周与债权人1之间的可转债协议，确保债权人1在特定条件下以预先确定价格可直接转为SPV1的股东；</w:t>
      </w:r>
    </w:p>
    <w:p>
      <w:pPr>
        <w:numPr>
          <w:numId w:val="3"/>
        </w:numPr>
        <w:spacing w:before="120" w:after="120" w:line="288" w:lineRule="auto"/>
        <w:ind w:left="0"/>
        <w:jc w:val="left"/>
      </w:pPr>
      <w:r>
        <w:rPr>
          <w:rFonts w:eastAsia="等线" w:ascii="Arial" w:cs="Arial" w:hAnsi="Arial"/>
          <w:sz w:val="22"/>
        </w:rPr>
        <w:t>如债权人1成为SPV1股东，姚同意成为债权人1的一致行动人。</w:t>
      </w:r>
    </w:p>
    <w:p>
      <w:pPr>
        <w:numPr>
          <w:numId w:val="4"/>
        </w:numPr>
        <w:spacing w:before="120" w:after="120" w:line="288" w:lineRule="auto"/>
        <w:ind w:left="0"/>
        <w:jc w:val="left"/>
      </w:pPr>
      <w:r>
        <w:rPr>
          <w:rFonts w:eastAsia="等线" w:ascii="Arial" w:cs="Arial" w:hAnsi="Arial"/>
          <w:sz w:val="22"/>
        </w:rPr>
        <w:t>SPV1、SPV2章程：</w:t>
      </w:r>
    </w:p>
    <w:p>
      <w:pPr>
        <w:numPr>
          <w:numId w:val="5"/>
        </w:numPr>
        <w:spacing w:before="120" w:after="120" w:line="288" w:lineRule="auto"/>
        <w:ind w:left="0"/>
        <w:jc w:val="left"/>
      </w:pPr>
      <w:r>
        <w:rPr>
          <w:rFonts w:eastAsia="等线" w:ascii="Arial" w:cs="Arial" w:hAnsi="Arial"/>
          <w:sz w:val="22"/>
        </w:rPr>
        <w:t>任意一方如转让股权，应提前通知其他方，其他方在同等条件下具有优先购买权；</w:t>
      </w:r>
    </w:p>
    <w:p>
      <w:pPr>
        <w:numPr>
          <w:numId w:val="6"/>
        </w:numPr>
        <w:spacing w:before="120" w:after="120" w:line="288" w:lineRule="auto"/>
        <w:ind w:left="0"/>
        <w:jc w:val="left"/>
      </w:pPr>
      <w:r>
        <w:rPr>
          <w:rFonts w:eastAsia="等线" w:ascii="Arial" w:cs="Arial" w:hAnsi="Arial"/>
          <w:sz w:val="22"/>
        </w:rPr>
        <w:t>董事会及法定代表人：</w:t>
      </w:r>
    </w:p>
    <w:p>
      <w:pPr>
        <w:numPr>
          <w:numId w:val="7"/>
        </w:numPr>
        <w:spacing w:before="120" w:after="120" w:line="288" w:lineRule="auto"/>
        <w:ind w:left="0"/>
        <w:jc w:val="left"/>
      </w:pPr>
      <w:r>
        <w:rPr>
          <w:rFonts w:eastAsia="等线" w:ascii="Arial" w:cs="Arial" w:hAnsi="Arial"/>
          <w:sz w:val="22"/>
        </w:rPr>
        <w:t>仅华锐智呈设董事会，3名董事，姚本人+罗、周各自指定1人。</w:t>
      </w:r>
    </w:p>
    <w:p>
      <w:pPr>
        <w:numPr>
          <w:numId w:val="8"/>
        </w:numPr>
        <w:spacing w:before="120" w:after="120" w:line="288" w:lineRule="auto"/>
        <w:ind w:left="0"/>
        <w:jc w:val="left"/>
      </w:pPr>
      <w:r>
        <w:rPr>
          <w:rFonts w:eastAsia="等线" w:ascii="Arial" w:cs="Arial" w:hAnsi="Arial"/>
          <w:sz w:val="22"/>
        </w:rPr>
        <w:t>SPV1、SPV2法代由姚担任</w:t>
      </w:r>
    </w:p>
    <w:p>
      <w:pPr>
        <w:pStyle w:val="3"/>
        <w:spacing w:before="300" w:after="120" w:line="288" w:lineRule="auto"/>
        <w:ind w:left="0"/>
        <w:jc w:val="left"/>
        <w:outlineLvl w:val="2"/>
      </w:pPr>
      <w:bookmarkStart w:name="heading_4" w:id="4"/>
      <w:r>
        <w:rPr>
          <w:rFonts w:eastAsia="等线" w:ascii="Arial" w:cs="Arial" w:hAnsi="Arial"/>
          <w:b w:val="true"/>
          <w:sz w:val="30"/>
        </w:rPr>
        <w:t>第三层：可转债安排（结合收购资金来源）：</w:t>
      </w:r>
      <w:bookmarkEnd w:id="4"/>
    </w:p>
    <w:p>
      <w:pPr>
        <w:spacing w:before="120" w:after="120" w:line="288" w:lineRule="auto"/>
        <w:ind w:left="0"/>
        <w:jc w:val="left"/>
      </w:pPr>
      <w:r>
        <w:rPr>
          <w:rFonts w:eastAsia="等线" w:ascii="Arial" w:cs="Arial" w:hAnsi="Arial"/>
          <w:sz w:val="22"/>
        </w:rPr>
        <w:t>SPV2通过借款解决并购资金，形成一笔可转债，在债务未偿还前，将所持股权质押给债权人2；</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实际控制人的认定</w:t>
      </w:r>
      <w:bookmarkEnd w:id="5"/>
    </w:p>
    <w:p>
      <w:pPr>
        <w:spacing w:before="120" w:after="120" w:line="288" w:lineRule="auto"/>
        <w:ind w:left="0"/>
        <w:jc w:val="left"/>
      </w:pPr>
      <w:r>
        <w:rPr>
          <w:rFonts w:eastAsia="等线" w:ascii="Arial" w:cs="Arial" w:hAnsi="Arial"/>
          <w:sz w:val="22"/>
        </w:rPr>
        <w:t>在中国现行法律体系下，“实际控制人”的认定遵循“实质重于形式”</w:t>
      </w:r>
      <w:r>
        <w:rPr>
          <w:rFonts w:eastAsia="等线" w:ascii="Arial" w:cs="Arial" w:hAnsi="Arial"/>
          <w:b w:val="true"/>
          <w:sz w:val="22"/>
        </w:rPr>
        <w:t>的原则。即不看你名字是否在股东名册上，而是看你</w:t>
      </w:r>
      <w:r>
        <w:rPr>
          <w:rFonts w:eastAsia="等线" w:ascii="Arial" w:cs="Arial" w:hAnsi="Arial"/>
          <w:sz w:val="22"/>
        </w:rPr>
        <w:t>是否拥有对公司重大事项的最终决策权。以下是基于《中华人民共和国民法典》、《中华人民共和国公司法》（2023修订版，2024年7月1日实施）及司法/监管实践的详细梳理。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一、 法律法规依据</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1. </w:t>
      </w:r>
      <w:r>
        <w:rPr>
          <w:rFonts w:eastAsia="等线" w:ascii="Arial" w:cs="Arial" w:hAnsi="Arial"/>
          <w:b w:val="true"/>
          <w:sz w:val="28"/>
        </w:rPr>
        <w:t>核心定义</w:t>
      </w:r>
      <w:bookmarkEnd w:id="7"/>
    </w:p>
    <w:p>
      <w:pPr>
        <w:spacing w:before="120" w:after="120" w:line="288" w:lineRule="auto"/>
        <w:ind w:left="0"/>
        <w:jc w:val="left"/>
      </w:pPr>
      <w:r>
        <w:rPr>
          <w:rFonts w:eastAsia="等线" w:ascii="Arial" w:cs="Arial" w:hAnsi="Arial"/>
          <w:b w:val="true"/>
          <w:sz w:val="22"/>
        </w:rPr>
        <w:t>《中华人民共和国公司法（2023修订）》第二百六十五条</w:t>
      </w:r>
      <w:r>
        <w:rPr>
          <w:rFonts w:eastAsia="等线" w:ascii="Arial" w:cs="Arial" w:hAnsi="Arial"/>
          <w:sz w:val="22"/>
        </w:rPr>
        <w:br/>
      </w:r>
      <w:r>
        <w:rPr>
          <w:rFonts w:eastAsia="等线" w:ascii="Arial" w:cs="Arial" w:hAnsi="Arial"/>
          <w:sz w:val="22"/>
        </w:rPr>
        <w:t>这是最权威的定义，明确了实控人可以不是股东。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b w:val="true"/>
                <w:color w:val="646a73"/>
                <w:sz w:val="22"/>
              </w:rPr>
              <w:t>第三款</w:t>
            </w:r>
            <w:r>
              <w:rPr>
                <w:rFonts w:eastAsia="等线" w:ascii="Arial" w:cs="Arial" w:hAnsi="Arial"/>
                <w:color w:val="646a73"/>
                <w:sz w:val="22"/>
              </w:rPr>
              <w:t>：</w:t>
            </w:r>
            <w:r>
              <w:rPr>
                <w:rFonts w:eastAsia="等线" w:ascii="Arial" w:cs="Arial" w:hAnsi="Arial"/>
                <w:b w:val="true"/>
                <w:color w:val="646a73"/>
                <w:sz w:val="22"/>
              </w:rPr>
              <w:t>实际控制人</w:t>
            </w:r>
            <w:r>
              <w:rPr>
                <w:rFonts w:eastAsia="等线" w:ascii="Arial" w:cs="Arial" w:hAnsi="Arial"/>
                <w:color w:val="646a73"/>
                <w:sz w:val="22"/>
              </w:rPr>
              <w:t>，是指虽不是公司的股东，但通过投资关系、协议或者其他安排，能够实际支配公司行为的人。</w:t>
            </w:r>
          </w:p>
          <w:p>
            <w:pPr>
              <w:numPr>
                <w:numId w:val="10"/>
              </w:numPr>
              <w:spacing w:before="120" w:after="120" w:line="288" w:lineRule="auto"/>
              <w:ind w:left="0"/>
              <w:jc w:val="left"/>
            </w:pPr>
            <w:r>
              <w:rPr>
                <w:rFonts w:eastAsia="等线" w:ascii="Arial" w:cs="Arial" w:hAnsi="Arial"/>
                <w:b w:val="true"/>
                <w:color w:val="646a73"/>
                <w:sz w:val="22"/>
              </w:rPr>
              <w:t>第二款</w:t>
            </w:r>
            <w:r>
              <w:rPr>
                <w:rFonts w:eastAsia="等线" w:ascii="Arial" w:cs="Arial" w:hAnsi="Arial"/>
                <w:color w:val="646a73"/>
                <w:sz w:val="22"/>
              </w:rPr>
              <w:t>：</w:t>
            </w:r>
            <w:r>
              <w:rPr>
                <w:rFonts w:eastAsia="等线" w:ascii="Arial" w:cs="Arial" w:hAnsi="Arial"/>
                <w:b w:val="true"/>
                <w:color w:val="646a73"/>
                <w:sz w:val="22"/>
              </w:rPr>
              <w:t>控股股东</w:t>
            </w:r>
            <w:r>
              <w:rPr>
                <w:rFonts w:eastAsia="等线" w:ascii="Arial" w:cs="Arial" w:hAnsi="Arial"/>
                <w:color w:val="646a73"/>
                <w:sz w:val="22"/>
              </w:rPr>
              <w:t>，是指其出资额占有限责任公司资本总额百分之五十以上……或者出资额、持有的股份所享有的表决权已足以对股东会决议产生重大影响的股东。</w:t>
            </w:r>
          </w:p>
        </w:tc>
      </w:tr>
    </w:tbl>
    <w:p>
      <w:pPr>
        <w:spacing w:before="120" w:after="120" w:line="288" w:lineRule="auto"/>
        <w:ind w:left="0"/>
        <w:jc w:val="left"/>
      </w:pPr>
      <w:r>
        <w:rPr>
          <w:rFonts w:eastAsia="等线" w:ascii="Arial" w:cs="Arial" w:hAnsi="Arial"/>
          <w:b w:val="true"/>
          <w:sz w:val="22"/>
        </w:rPr>
        <w:t>《中华人民共和国民法典》</w:t>
      </w:r>
      <w:r>
        <w:rPr>
          <w:rFonts w:eastAsia="等线" w:ascii="Arial" w:cs="Arial" w:hAnsi="Arial"/>
          <w:sz w:val="22"/>
        </w:rPr>
        <w:br/>
      </w:r>
      <w:r>
        <w:rPr>
          <w:rFonts w:eastAsia="等线" w:ascii="Arial" w:cs="Arial" w:hAnsi="Arial"/>
          <w:sz w:val="22"/>
        </w:rPr>
        <w:t>虽未直接定义公司实控人，但通过代理制度（第一百六十一条）、意思表示（第一百三十三条）确立了“委托-代理”及“控制权穿透”的民法基础。</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2. </w:t>
      </w:r>
      <w:r>
        <w:rPr>
          <w:rFonts w:eastAsia="等线" w:ascii="Arial" w:cs="Arial" w:hAnsi="Arial"/>
          <w:b w:val="true"/>
          <w:sz w:val="28"/>
        </w:rPr>
        <w:t>具体认定标准（实操金标准）</w:t>
      </w:r>
      <w:bookmarkEnd w:id="8"/>
    </w:p>
    <w:p>
      <w:pPr>
        <w:spacing w:before="120" w:after="120" w:line="288" w:lineRule="auto"/>
        <w:ind w:left="0"/>
        <w:jc w:val="left"/>
      </w:pPr>
      <w:r>
        <w:rPr>
          <w:rFonts w:eastAsia="等线" w:ascii="Arial" w:cs="Arial" w:hAnsi="Arial"/>
          <w:sz w:val="22"/>
        </w:rPr>
        <w:t>由于《公司法》定义较为原则性，司法实践和监管审核中，普遍引用</w:t>
      </w:r>
      <w:r>
        <w:rPr>
          <w:rFonts w:eastAsia="等线" w:ascii="Arial" w:cs="Arial" w:hAnsi="Arial"/>
          <w:b w:val="true"/>
          <w:sz w:val="22"/>
        </w:rPr>
        <w:t>中国证监会《上市公司收购管理办法（2020修订）》第八十四条</w:t>
      </w:r>
      <w:r>
        <w:rPr>
          <w:rFonts w:eastAsia="等线" w:ascii="Arial" w:cs="Arial" w:hAnsi="Arial"/>
          <w:sz w:val="22"/>
        </w:rPr>
        <w:t>作为认定标准。只要满足下列情形之一，即被认定为拥有控制权：</w:t>
      </w:r>
    </w:p>
    <w:p>
      <w:pPr>
        <w:numPr>
          <w:numId w:val="11"/>
        </w:numPr>
        <w:spacing w:before="120" w:after="120" w:line="288" w:lineRule="auto"/>
        <w:ind w:left="0"/>
        <w:jc w:val="left"/>
      </w:pPr>
      <w:r>
        <w:rPr>
          <w:rFonts w:eastAsia="等线" w:ascii="Arial" w:cs="Arial" w:hAnsi="Arial"/>
          <w:b w:val="true"/>
          <w:sz w:val="22"/>
        </w:rPr>
        <w:t>持股比例</w:t>
      </w:r>
      <w:r>
        <w:rPr>
          <w:rFonts w:eastAsia="等线" w:ascii="Arial" w:cs="Arial" w:hAnsi="Arial"/>
          <w:sz w:val="22"/>
        </w:rPr>
        <w:t xml:space="preserve">：持有股份占股本总额 </w:t>
      </w:r>
      <w:r>
        <w:rPr>
          <w:rFonts w:eastAsia="等线" w:ascii="Arial" w:cs="Arial" w:hAnsi="Arial"/>
          <w:b w:val="true"/>
          <w:sz w:val="22"/>
        </w:rPr>
        <w:t>50%以上</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b w:val="true"/>
          <w:sz w:val="22"/>
        </w:rPr>
        <w:t>表决权</w:t>
      </w:r>
      <w:r>
        <w:rPr>
          <w:rFonts w:eastAsia="等线" w:ascii="Arial" w:cs="Arial" w:hAnsi="Arial"/>
          <w:sz w:val="22"/>
        </w:rPr>
        <w:t xml:space="preserve">：可以实际支配的股份表决权超过 </w:t>
      </w:r>
      <w:r>
        <w:rPr>
          <w:rFonts w:eastAsia="等线" w:ascii="Arial" w:cs="Arial" w:hAnsi="Arial"/>
          <w:b w:val="true"/>
          <w:sz w:val="22"/>
        </w:rPr>
        <w:t>30%</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b w:val="true"/>
          <w:sz w:val="22"/>
        </w:rPr>
        <w:t>人事权</w:t>
      </w:r>
      <w:r>
        <w:rPr>
          <w:rFonts w:eastAsia="等线" w:ascii="Arial" w:cs="Arial" w:hAnsi="Arial"/>
          <w:sz w:val="22"/>
        </w:rPr>
        <w:t>：通过实际支配表决权能够决定公司董事会</w:t>
      </w:r>
      <w:r>
        <w:rPr>
          <w:rFonts w:eastAsia="等线" w:ascii="Arial" w:cs="Arial" w:hAnsi="Arial"/>
          <w:b w:val="true"/>
          <w:sz w:val="22"/>
        </w:rPr>
        <w:t>半数以上成员选任</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决策权</w:t>
      </w:r>
      <w:r>
        <w:rPr>
          <w:rFonts w:eastAsia="等线" w:ascii="Arial" w:cs="Arial" w:hAnsi="Arial"/>
          <w:sz w:val="22"/>
        </w:rPr>
        <w:t>：依其可实际支配的表决权，足以对股东大会的决议产生</w:t>
      </w:r>
      <w:r>
        <w:rPr>
          <w:rFonts w:eastAsia="等线" w:ascii="Arial" w:cs="Arial" w:hAnsi="Arial"/>
          <w:b w:val="true"/>
          <w:sz w:val="22"/>
        </w:rPr>
        <w:t>重大影响</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b w:val="true"/>
          <w:sz w:val="22"/>
        </w:rPr>
        <w:t>兜底条款</w:t>
      </w:r>
      <w:r>
        <w:rPr>
          <w:rFonts w:eastAsia="等线" w:ascii="Arial" w:cs="Arial" w:hAnsi="Arial"/>
          <w:sz w:val="22"/>
        </w:rPr>
        <w:t>：中国证监会认定的其他情形（如通过协议控制、多重代持等）。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二、 司法实践与典型案例</w:t>
      </w:r>
      <w:bookmarkEnd w:id="9"/>
    </w:p>
    <w:p>
      <w:pPr>
        <w:spacing w:before="120" w:after="120" w:line="288" w:lineRule="auto"/>
        <w:ind w:left="0"/>
        <w:jc w:val="left"/>
      </w:pPr>
      <w:r>
        <w:rPr>
          <w:rFonts w:eastAsia="等线" w:ascii="Arial" w:cs="Arial" w:hAnsi="Arial"/>
          <w:sz w:val="22"/>
        </w:rPr>
        <w:t>在司法裁判中，法院不仅看工商登记，更会穿透审查</w:t>
      </w:r>
      <w:r>
        <w:rPr>
          <w:rFonts w:eastAsia="等线" w:ascii="Arial" w:cs="Arial" w:hAnsi="Arial"/>
          <w:b w:val="true"/>
          <w:sz w:val="22"/>
        </w:rPr>
        <w:t>资金流向、人事任免、印章控制</w:t>
      </w:r>
      <w:r>
        <w:rPr>
          <w:rFonts w:eastAsia="等线" w:ascii="Arial" w:cs="Arial" w:hAnsi="Arial"/>
          <w:sz w:val="22"/>
        </w:rPr>
        <w:t>等事实。</w:t>
      </w:r>
    </w:p>
    <w:p>
      <w:pPr>
        <w:pStyle w:val="4"/>
        <w:spacing w:before="260" w:after="120" w:line="288" w:lineRule="auto"/>
        <w:ind w:left="0"/>
        <w:jc w:val="left"/>
        <w:outlineLvl w:val="3"/>
      </w:pPr>
      <w:bookmarkStart w:name="heading_10" w:id="10"/>
      <w:r>
        <w:rPr>
          <w:rFonts w:eastAsia="等线" w:ascii="Arial" w:cs="Arial" w:hAnsi="Arial"/>
          <w:b w:val="true"/>
          <w:sz w:val="28"/>
        </w:rPr>
        <w:t>案例一：隐名股东（幕后老板）被认定为实控人</w:t>
      </w:r>
      <w:bookmarkEnd w:id="10"/>
    </w:p>
    <w:p>
      <w:pPr>
        <w:numPr>
          <w:numId w:val="16"/>
        </w:numPr>
        <w:spacing w:before="120" w:after="120" w:line="288" w:lineRule="auto"/>
        <w:ind w:left="0"/>
        <w:jc w:val="left"/>
      </w:pPr>
      <w:r>
        <w:rPr>
          <w:rFonts w:eastAsia="等线" w:ascii="Arial" w:cs="Arial" w:hAnsi="Arial"/>
          <w:b w:val="true"/>
          <w:sz w:val="22"/>
        </w:rPr>
        <w:t>案号</w:t>
      </w:r>
      <w:r>
        <w:rPr>
          <w:rFonts w:eastAsia="等线" w:ascii="Arial" w:cs="Arial" w:hAnsi="Arial"/>
          <w:sz w:val="22"/>
        </w:rPr>
        <w:t>：</w:t>
      </w:r>
      <w:r>
        <w:rPr>
          <w:rFonts w:eastAsia="等线" w:ascii="Arial" w:cs="Arial" w:hAnsi="Arial"/>
          <w:b w:val="true"/>
          <w:sz w:val="22"/>
        </w:rPr>
        <w:t>(2017) 最高法民申2406号</w:t>
      </w:r>
      <w:r>
        <w:rPr>
          <w:rFonts w:eastAsia="等线" w:ascii="Arial" w:cs="Arial" w:hAnsi="Arial"/>
          <w:sz w:val="22"/>
        </w:rPr>
        <w:t>（最高人民法院）</w:t>
      </w:r>
    </w:p>
    <w:p>
      <w:pPr>
        <w:numPr>
          <w:numId w:val="17"/>
        </w:numPr>
        <w:spacing w:before="120" w:after="120" w:line="288" w:lineRule="auto"/>
        <w:ind w:left="0"/>
        <w:jc w:val="left"/>
      </w:pPr>
      <w:r>
        <w:rPr>
          <w:rFonts w:eastAsia="等线" w:ascii="Arial" w:cs="Arial" w:hAnsi="Arial"/>
          <w:b w:val="true"/>
          <w:sz w:val="22"/>
        </w:rPr>
        <w:t>争议焦点</w:t>
      </w:r>
      <w:r>
        <w:rPr>
          <w:rFonts w:eastAsia="等线" w:ascii="Arial" w:cs="Arial" w:hAnsi="Arial"/>
          <w:sz w:val="22"/>
        </w:rPr>
        <w:t>：未在工商登记的幕后投资人是否为实际控制人？是否应承担连带责任？</w:t>
      </w:r>
    </w:p>
    <w:p>
      <w:pPr>
        <w:numPr>
          <w:numId w:val="18"/>
        </w:numPr>
        <w:spacing w:before="120" w:after="120" w:line="288" w:lineRule="auto"/>
        <w:ind w:left="0"/>
        <w:jc w:val="left"/>
      </w:pPr>
      <w:r>
        <w:rPr>
          <w:rFonts w:eastAsia="等线" w:ascii="Arial" w:cs="Arial" w:hAnsi="Arial"/>
          <w:b w:val="true"/>
          <w:sz w:val="22"/>
        </w:rPr>
        <w:t>裁判观点</w:t>
      </w:r>
      <w:r>
        <w:rPr>
          <w:rFonts w:eastAsia="等线" w:ascii="Arial" w:cs="Arial" w:hAnsi="Arial"/>
          <w:sz w:val="22"/>
        </w:rPr>
        <w:t>：最高院认为，虽然当事人未在公司股东名册上具名，但其</w:t>
      </w:r>
      <w:r>
        <w:rPr>
          <w:rFonts w:eastAsia="等线" w:ascii="Arial" w:cs="Arial" w:hAnsi="Arial"/>
          <w:b w:val="true"/>
          <w:sz w:val="22"/>
        </w:rPr>
        <w:t>实际出资</w:t>
      </w:r>
      <w:r>
        <w:rPr>
          <w:rFonts w:eastAsia="等线" w:ascii="Arial" w:cs="Arial" w:hAnsi="Arial"/>
          <w:sz w:val="22"/>
        </w:rPr>
        <w:t>，并实际</w:t>
      </w:r>
      <w:r>
        <w:rPr>
          <w:rFonts w:eastAsia="等线" w:ascii="Arial" w:cs="Arial" w:hAnsi="Arial"/>
          <w:b w:val="true"/>
          <w:sz w:val="22"/>
        </w:rPr>
        <w:t>掌管公司公章、财务章及营业执照</w:t>
      </w:r>
      <w:r>
        <w:rPr>
          <w:rFonts w:eastAsia="等线" w:ascii="Arial" w:cs="Arial" w:hAnsi="Arial"/>
          <w:sz w:val="22"/>
        </w:rPr>
        <w:t>，且公司重大决策均由其做出。据此，法院认定其为公司的</w:t>
      </w:r>
      <w:r>
        <w:rPr>
          <w:rFonts w:eastAsia="等线" w:ascii="Arial" w:cs="Arial" w:hAnsi="Arial"/>
          <w:b w:val="true"/>
          <w:sz w:val="22"/>
        </w:rPr>
        <w:t>实际控制人</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b w:val="true"/>
          <w:sz w:val="22"/>
        </w:rPr>
        <w:t>对本案的启示</w:t>
      </w:r>
      <w:r>
        <w:rPr>
          <w:rFonts w:eastAsia="等线" w:ascii="Arial" w:cs="Arial" w:hAnsi="Arial"/>
          <w:sz w:val="22"/>
        </w:rPr>
        <w:t>：即使您设计了多层SPV，如果</w:t>
      </w:r>
      <w:r>
        <w:rPr>
          <w:rFonts w:eastAsia="等线" w:ascii="Arial" w:cs="Arial" w:hAnsi="Arial"/>
          <w:b w:val="true"/>
          <w:sz w:val="22"/>
        </w:rPr>
        <w:t>资金来源（借款/出资）</w:t>
      </w:r>
      <w:r>
        <w:rPr>
          <w:rFonts w:eastAsia="等线" w:ascii="Arial" w:cs="Arial" w:hAnsi="Arial"/>
          <w:sz w:val="22"/>
        </w:rPr>
        <w:t>、</w:t>
      </w:r>
      <w:r>
        <w:rPr>
          <w:rFonts w:eastAsia="等线" w:ascii="Arial" w:cs="Arial" w:hAnsi="Arial"/>
          <w:b w:val="true"/>
          <w:sz w:val="22"/>
        </w:rPr>
        <w:t>印章证照（物理控制）</w:t>
      </w:r>
      <w:r>
        <w:rPr>
          <w:rFonts w:eastAsia="等线" w:ascii="Arial" w:cs="Arial" w:hAnsi="Arial"/>
          <w:sz w:val="22"/>
        </w:rPr>
        <w:t>、</w:t>
      </w:r>
      <w:r>
        <w:rPr>
          <w:rFonts w:eastAsia="等线" w:ascii="Arial" w:cs="Arial" w:hAnsi="Arial"/>
          <w:b w:val="true"/>
          <w:sz w:val="22"/>
        </w:rPr>
        <w:t>人事指令</w:t>
      </w:r>
      <w:r>
        <w:rPr>
          <w:rFonts w:eastAsia="等线" w:ascii="Arial" w:cs="Arial" w:hAnsi="Arial"/>
          <w:sz w:val="22"/>
        </w:rPr>
        <w:t>全部指向老板L，一旦发生诉讼，法院完全有理由穿透认定老板L为实控人。</w:t>
      </w:r>
    </w:p>
    <w:p>
      <w:pPr>
        <w:pStyle w:val="4"/>
        <w:spacing w:before="260" w:after="120" w:line="288" w:lineRule="auto"/>
        <w:ind w:left="0"/>
        <w:jc w:val="left"/>
        <w:outlineLvl w:val="3"/>
      </w:pPr>
      <w:bookmarkStart w:name="heading_11" w:id="11"/>
      <w:r>
        <w:rPr>
          <w:rFonts w:eastAsia="等线" w:ascii="Arial" w:cs="Arial" w:hAnsi="Arial"/>
          <w:b w:val="true"/>
          <w:sz w:val="28"/>
        </w:rPr>
        <w:t>案例二：协议控制（表决权委托）被认定为有效控制</w:t>
      </w:r>
      <w:bookmarkEnd w:id="11"/>
    </w:p>
    <w:p>
      <w:pPr>
        <w:numPr>
          <w:numId w:val="20"/>
        </w:numPr>
        <w:spacing w:before="120" w:after="120" w:line="288" w:lineRule="auto"/>
        <w:ind w:left="0"/>
        <w:jc w:val="left"/>
      </w:pPr>
      <w:r>
        <w:rPr>
          <w:rFonts w:eastAsia="等线" w:ascii="Arial" w:cs="Arial" w:hAnsi="Arial"/>
          <w:b w:val="true"/>
          <w:sz w:val="22"/>
        </w:rPr>
        <w:t>案例背景</w:t>
      </w:r>
      <w:r>
        <w:rPr>
          <w:rFonts w:eastAsia="等线" w:ascii="Arial" w:cs="Arial" w:hAnsi="Arial"/>
          <w:sz w:val="22"/>
        </w:rPr>
        <w:t>：</w:t>
      </w:r>
      <w:r>
        <w:rPr>
          <w:rFonts w:eastAsia="等线" w:ascii="Arial" w:cs="Arial" w:hAnsi="Arial"/>
          <w:b w:val="true"/>
          <w:sz w:val="22"/>
        </w:rPr>
        <w:t>阿里巴巴（BABA/9988）与蚂蚁集团</w:t>
      </w:r>
      <w:r>
        <w:rPr>
          <w:rFonts w:eastAsia="等线" w:ascii="Arial" w:cs="Arial" w:hAnsi="Arial"/>
          <w:sz w:val="22"/>
        </w:rPr>
        <w:t>的控制权演变。</w:t>
      </w:r>
    </w:p>
    <w:p>
      <w:pPr>
        <w:numPr>
          <w:numId w:val="21"/>
        </w:numPr>
        <w:spacing w:before="120" w:after="120" w:line="288" w:lineRule="auto"/>
        <w:ind w:left="0"/>
        <w:jc w:val="left"/>
      </w:pPr>
      <w:r>
        <w:rPr>
          <w:rFonts w:eastAsia="等线" w:ascii="Arial" w:cs="Arial" w:hAnsi="Arial"/>
          <w:b w:val="true"/>
          <w:sz w:val="22"/>
        </w:rPr>
        <w:t>事实</w:t>
      </w:r>
      <w:r>
        <w:rPr>
          <w:rFonts w:eastAsia="等线" w:ascii="Arial" w:cs="Arial" w:hAnsi="Arial"/>
          <w:sz w:val="22"/>
        </w:rPr>
        <w:t>：马云曾通过持股平台（君瀚、君澳）及《一致行动协议》控制蚂蚁集团。在2023年调整前，虽然马云个人直接持股比例很低，但通过层层协议安排，他拥有对股东会的绝对控制权。</w:t>
      </w:r>
    </w:p>
    <w:p>
      <w:pPr>
        <w:numPr>
          <w:numId w:val="22"/>
        </w:numPr>
        <w:spacing w:before="120" w:after="120" w:line="288" w:lineRule="auto"/>
        <w:ind w:left="0"/>
        <w:jc w:val="left"/>
      </w:pPr>
      <w:r>
        <w:rPr>
          <w:rFonts w:eastAsia="等线" w:ascii="Arial" w:cs="Arial" w:hAnsi="Arial"/>
          <w:b w:val="true"/>
          <w:sz w:val="22"/>
        </w:rPr>
        <w:t>监管认定</w:t>
      </w:r>
      <w:r>
        <w:rPr>
          <w:rFonts w:eastAsia="等线" w:ascii="Arial" w:cs="Arial" w:hAnsi="Arial"/>
          <w:sz w:val="22"/>
        </w:rPr>
        <w:t>：监管机构认可“协议控制”作为实控人的认定依据。反之，当解除一致行动协议、表决权分散后，监管机构认可公司变更为“无实际控制人”。</w:t>
      </w:r>
    </w:p>
    <w:p>
      <w:pPr>
        <w:numPr>
          <w:numId w:val="23"/>
        </w:numPr>
        <w:spacing w:before="120" w:after="120" w:line="288" w:lineRule="auto"/>
        <w:ind w:left="0"/>
        <w:jc w:val="left"/>
      </w:pPr>
      <w:r>
        <w:rPr>
          <w:rFonts w:eastAsia="等线" w:ascii="Arial" w:cs="Arial" w:hAnsi="Arial"/>
          <w:b w:val="true"/>
          <w:sz w:val="22"/>
        </w:rPr>
        <w:t>对本案的启示</w:t>
      </w:r>
      <w:r>
        <w:rPr>
          <w:rFonts w:eastAsia="等线" w:ascii="Arial" w:cs="Arial" w:hAnsi="Arial"/>
          <w:sz w:val="22"/>
        </w:rPr>
        <w:t>：《表决权委托协议》在法律上是认定控制权的强证据。只要SPV1的股东签了委托书给老板L的代理人，老板L就是法律上的实控人。</w:t>
      </w:r>
    </w:p>
    <w:p>
      <w:pPr>
        <w:pStyle w:val="4"/>
        <w:spacing w:before="260" w:after="120" w:line="288" w:lineRule="auto"/>
        <w:ind w:left="0"/>
        <w:jc w:val="left"/>
        <w:outlineLvl w:val="3"/>
      </w:pPr>
      <w:bookmarkStart w:name="heading_12" w:id="12"/>
      <w:r>
        <w:rPr>
          <w:rFonts w:eastAsia="等线" w:ascii="Arial" w:cs="Arial" w:hAnsi="Arial"/>
          <w:b w:val="true"/>
          <w:sz w:val="28"/>
        </w:rPr>
        <w:t>案例三：“无实际控制人”的司法与监管认定</w:t>
      </w:r>
      <w:bookmarkEnd w:id="12"/>
    </w:p>
    <w:p>
      <w:pPr>
        <w:numPr>
          <w:numId w:val="24"/>
        </w:numPr>
        <w:spacing w:before="120" w:after="120" w:line="288" w:lineRule="auto"/>
        <w:ind w:left="0"/>
        <w:jc w:val="left"/>
      </w:pPr>
      <w:r>
        <w:rPr>
          <w:rFonts w:eastAsia="等线" w:ascii="Arial" w:cs="Arial" w:hAnsi="Arial"/>
          <w:b w:val="true"/>
          <w:sz w:val="22"/>
        </w:rPr>
        <w:t>案例对象</w:t>
      </w:r>
      <w:r>
        <w:rPr>
          <w:rFonts w:eastAsia="等线" w:ascii="Arial" w:cs="Arial" w:hAnsi="Arial"/>
          <w:sz w:val="22"/>
        </w:rPr>
        <w:t>：</w:t>
      </w:r>
      <w:r>
        <w:rPr>
          <w:rFonts w:eastAsia="等线" w:ascii="Arial" w:cs="Arial" w:hAnsi="Arial"/>
          <w:b w:val="true"/>
          <w:sz w:val="22"/>
        </w:rPr>
        <w:t>格力电器（000651）</w:t>
      </w:r>
      <w:r>
        <w:rPr>
          <w:rFonts w:eastAsia="等线" w:ascii="Arial" w:cs="Arial" w:hAnsi="Arial"/>
          <w:sz w:val="22"/>
        </w:rPr>
        <w:t>、</w:t>
      </w:r>
      <w:r>
        <w:rPr>
          <w:rFonts w:eastAsia="等线" w:ascii="Arial" w:cs="Arial" w:hAnsi="Arial"/>
          <w:b w:val="true"/>
          <w:sz w:val="22"/>
        </w:rPr>
        <w:t>中芯国际（688981）</w:t>
      </w:r>
    </w:p>
    <w:p>
      <w:pPr>
        <w:numPr>
          <w:numId w:val="25"/>
        </w:numPr>
        <w:spacing w:before="120" w:after="120" w:line="288" w:lineRule="auto"/>
        <w:ind w:left="0"/>
        <w:jc w:val="left"/>
      </w:pPr>
      <w:r>
        <w:rPr>
          <w:rFonts w:eastAsia="等线" w:ascii="Arial" w:cs="Arial" w:hAnsi="Arial"/>
          <w:b w:val="true"/>
          <w:sz w:val="22"/>
        </w:rPr>
        <w:t>事实</w:t>
      </w:r>
      <w:r>
        <w:rPr>
          <w:rFonts w:eastAsia="等线" w:ascii="Arial" w:cs="Arial" w:hAnsi="Arial"/>
          <w:sz w:val="22"/>
        </w:rPr>
        <w:t>：格力电器股权结构分散，第一大股东珠海明骏持股15%，且无任何单一股东能决定董事会多数席位。</w:t>
      </w:r>
    </w:p>
    <w:p>
      <w:pPr>
        <w:numPr>
          <w:numId w:val="26"/>
        </w:numPr>
        <w:spacing w:before="120" w:after="120" w:line="288" w:lineRule="auto"/>
        <w:ind w:left="0"/>
        <w:jc w:val="left"/>
      </w:pPr>
      <w:r>
        <w:rPr>
          <w:rFonts w:eastAsia="等线" w:ascii="Arial" w:cs="Arial" w:hAnsi="Arial"/>
          <w:b w:val="true"/>
          <w:sz w:val="22"/>
        </w:rPr>
        <w:t>认定依据</w:t>
      </w:r>
      <w:r>
        <w:rPr>
          <w:rFonts w:eastAsia="等线" w:ascii="Arial" w:cs="Arial" w:hAnsi="Arial"/>
          <w:sz w:val="22"/>
        </w:rPr>
        <w:t>：</w:t>
      </w:r>
    </w:p>
    <w:p>
      <w:pPr>
        <w:numPr>
          <w:numId w:val="27"/>
        </w:numPr>
        <w:spacing w:before="120" w:after="120" w:line="288" w:lineRule="auto"/>
        <w:ind w:left="453"/>
        <w:jc w:val="left"/>
      </w:pPr>
      <w:r>
        <w:rPr>
          <w:rFonts w:eastAsia="等线" w:ascii="Arial" w:cs="Arial" w:hAnsi="Arial"/>
          <w:sz w:val="22"/>
        </w:rPr>
        <w:t>股权分散，无单一股东持股超50%。</w:t>
      </w:r>
    </w:p>
    <w:p>
      <w:pPr>
        <w:numPr>
          <w:numId w:val="28"/>
        </w:numPr>
        <w:spacing w:before="120" w:after="120" w:line="288" w:lineRule="auto"/>
        <w:ind w:left="453"/>
        <w:jc w:val="left"/>
      </w:pPr>
      <w:r>
        <w:rPr>
          <w:rFonts w:eastAsia="等线" w:ascii="Arial" w:cs="Arial" w:hAnsi="Arial"/>
          <w:sz w:val="22"/>
        </w:rPr>
        <w:t>无单一股东能提名半数以上董事。</w:t>
      </w:r>
    </w:p>
    <w:p>
      <w:pPr>
        <w:numPr>
          <w:numId w:val="29"/>
        </w:numPr>
        <w:spacing w:before="120" w:after="120" w:line="288" w:lineRule="auto"/>
        <w:ind w:left="453"/>
        <w:jc w:val="left"/>
      </w:pPr>
      <w:r>
        <w:rPr>
          <w:rFonts w:eastAsia="等线" w:ascii="Arial" w:cs="Arial" w:hAnsi="Arial"/>
          <w:sz w:val="22"/>
        </w:rPr>
        <w:t>各主要股东之间</w:t>
      </w:r>
      <w:r>
        <w:rPr>
          <w:rFonts w:eastAsia="等线" w:ascii="Arial" w:cs="Arial" w:hAnsi="Arial"/>
          <w:b w:val="true"/>
          <w:sz w:val="22"/>
        </w:rPr>
        <w:t>无一致行动协议</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b w:val="true"/>
          <w:sz w:val="22"/>
        </w:rPr>
        <w:t>结论</w:t>
      </w:r>
      <w:r>
        <w:rPr>
          <w:rFonts w:eastAsia="等线" w:ascii="Arial" w:cs="Arial" w:hAnsi="Arial"/>
          <w:sz w:val="22"/>
        </w:rPr>
        <w:t>：被认定为“无实际控制人”。</w:t>
      </w:r>
    </w:p>
    <w:p>
      <w:pPr>
        <w:numPr>
          <w:numId w:val="31"/>
        </w:numPr>
        <w:spacing w:before="120" w:after="120" w:line="288" w:lineRule="auto"/>
        <w:ind w:left="0"/>
        <w:jc w:val="left"/>
      </w:pPr>
      <w:r>
        <w:rPr>
          <w:rFonts w:eastAsia="等线" w:ascii="Arial" w:cs="Arial" w:hAnsi="Arial"/>
          <w:b w:val="true"/>
          <w:sz w:val="22"/>
        </w:rPr>
        <w:t>对本案的启示</w:t>
      </w:r>
      <w:r>
        <w:rPr>
          <w:rFonts w:eastAsia="等线" w:ascii="Arial" w:cs="Arial" w:hAnsi="Arial"/>
          <w:sz w:val="22"/>
        </w:rPr>
        <w:t>：要做到“无实控人”，必须切断罗欢、姚、周三人的法律关联（如一致行动），并让董事会席位由各方均分。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三、 结合您架构的深度分析</w:t>
      </w:r>
      <w:bookmarkEnd w:id="13"/>
    </w:p>
    <w:p>
      <w:pPr>
        <w:spacing w:before="120" w:after="120" w:line="288" w:lineRule="auto"/>
        <w:ind w:left="0"/>
        <w:jc w:val="left"/>
      </w:pPr>
      <w:r>
        <w:rPr>
          <w:rFonts w:eastAsia="等线" w:ascii="Arial" w:cs="Arial" w:hAnsi="Arial"/>
          <w:sz w:val="22"/>
        </w:rPr>
        <w:t>基于上述法律依据，我们回头看您设计的**“罗(34%) - 姚/周(SPV1 66%)”**架构。</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1. </w:t>
      </w:r>
      <w:r>
        <w:rPr>
          <w:rFonts w:eastAsia="等线" w:ascii="Arial" w:cs="Arial" w:hAnsi="Arial"/>
          <w:b w:val="true"/>
          <w:sz w:val="28"/>
        </w:rPr>
        <w:t>如何被认定为“无实际控制人”？</w:t>
      </w:r>
      <w:bookmarkEnd w:id="14"/>
    </w:p>
    <w:p>
      <w:pPr>
        <w:spacing w:before="120" w:after="120" w:line="288" w:lineRule="auto"/>
        <w:ind w:left="0"/>
        <w:jc w:val="left"/>
      </w:pPr>
      <w:r>
        <w:rPr>
          <w:rFonts w:eastAsia="等线" w:ascii="Arial" w:cs="Arial" w:hAnsi="Arial"/>
          <w:sz w:val="22"/>
        </w:rPr>
        <w:t>必须同时满足以下三个法律要件，缺一不可：</w:t>
      </w:r>
    </w:p>
    <w:p>
      <w:pPr>
        <w:numPr>
          <w:numId w:val="32"/>
        </w:numPr>
        <w:spacing w:before="120" w:after="120" w:line="288" w:lineRule="auto"/>
        <w:ind w:left="0"/>
        <w:jc w:val="left"/>
      </w:pPr>
      <w:r>
        <w:rPr>
          <w:rFonts w:eastAsia="等线" w:ascii="Arial" w:cs="Arial" w:hAnsi="Arial"/>
          <w:b w:val="true"/>
          <w:sz w:val="22"/>
        </w:rPr>
        <w:t>要件A（股权死锁）</w:t>
      </w:r>
      <w:r>
        <w:rPr>
          <w:rFonts w:eastAsia="等线" w:ascii="Arial" w:cs="Arial" w:hAnsi="Arial"/>
          <w:sz w:val="22"/>
        </w:rPr>
        <w:t>：SPV1内部，姚和周各持50%，且章程未约定“单方决定权”。（</w:t>
      </w:r>
      <w:r>
        <w:rPr>
          <w:rFonts w:eastAsia="等线" w:ascii="Arial" w:cs="Arial" w:hAnsi="Arial"/>
          <w:b w:val="true"/>
          <w:sz w:val="22"/>
        </w:rPr>
        <w:t>法律依据</w:t>
      </w:r>
      <w:r>
        <w:rPr>
          <w:rFonts w:eastAsia="等线" w:ascii="Arial" w:cs="Arial" w:hAnsi="Arial"/>
          <w:sz w:val="22"/>
        </w:rPr>
        <w:t>：《公司法》关于决议须经代表1/2以上表决权的股东通过）。</w:t>
      </w:r>
    </w:p>
    <w:p>
      <w:pPr>
        <w:numPr>
          <w:numId w:val="33"/>
        </w:numPr>
        <w:spacing w:before="120" w:after="120" w:line="288" w:lineRule="auto"/>
        <w:ind w:left="0"/>
        <w:jc w:val="left"/>
      </w:pPr>
      <w:r>
        <w:rPr>
          <w:rFonts w:eastAsia="等线" w:ascii="Arial" w:cs="Arial" w:hAnsi="Arial"/>
          <w:b w:val="true"/>
          <w:sz w:val="22"/>
        </w:rPr>
        <w:t>要件B（无一致行动）</w:t>
      </w:r>
      <w:r>
        <w:rPr>
          <w:rFonts w:eastAsia="等线" w:ascii="Arial" w:cs="Arial" w:hAnsi="Arial"/>
          <w:sz w:val="22"/>
        </w:rPr>
        <w:t>：罗欢、姚、周三人之间，以及姚、周之间，</w:t>
      </w:r>
      <w:r>
        <w:rPr>
          <w:rFonts w:eastAsia="等线" w:ascii="Arial" w:cs="Arial" w:hAnsi="Arial"/>
          <w:b w:val="true"/>
          <w:sz w:val="22"/>
        </w:rPr>
        <w:t>未签署</w:t>
      </w:r>
      <w:r>
        <w:rPr>
          <w:rFonts w:eastAsia="等线" w:ascii="Arial" w:cs="Arial" w:hAnsi="Arial"/>
          <w:sz w:val="22"/>
        </w:rPr>
        <w:t>任何《一致行动人协议》。</w:t>
      </w:r>
    </w:p>
    <w:p>
      <w:pPr>
        <w:numPr>
          <w:numId w:val="34"/>
        </w:numPr>
        <w:spacing w:before="120" w:after="120" w:line="288" w:lineRule="auto"/>
        <w:ind w:left="0"/>
        <w:jc w:val="left"/>
      </w:pPr>
      <w:r>
        <w:rPr>
          <w:rFonts w:eastAsia="等线" w:ascii="Arial" w:cs="Arial" w:hAnsi="Arial"/>
          <w:b w:val="true"/>
          <w:sz w:val="22"/>
        </w:rPr>
        <w:t>要件C（董事会分权）</w:t>
      </w:r>
      <w:r>
        <w:rPr>
          <w:rFonts w:eastAsia="等线" w:ascii="Arial" w:cs="Arial" w:hAnsi="Arial"/>
          <w:sz w:val="22"/>
        </w:rPr>
        <w:t>：董事会席位没有任何一方能占到1/2以上（例如3席，罗1、姚1、周1）。</w:t>
      </w:r>
    </w:p>
    <w:p>
      <w:pPr>
        <w:spacing w:before="120" w:after="120" w:line="288" w:lineRule="auto"/>
        <w:ind w:left="0"/>
        <w:jc w:val="left"/>
      </w:pPr>
      <w:r>
        <w:rPr>
          <w:rFonts w:eastAsia="等线" w:ascii="Arial" w:cs="Arial" w:hAnsi="Arial"/>
          <w:b w:val="true"/>
          <w:sz w:val="22"/>
        </w:rPr>
        <w:t>只要做到这三点，依据《上市公司收购管理办法》第八十四条的反面解释，华锐智呈即为“无实际控制人”。</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2. </w:t>
      </w:r>
      <w:r>
        <w:rPr>
          <w:rFonts w:eastAsia="等线" w:ascii="Arial" w:cs="Arial" w:hAnsi="Arial"/>
          <w:b w:val="true"/>
          <w:sz w:val="28"/>
        </w:rPr>
        <w:t>“质押+借款”是否会暴露实控人？</w:t>
      </w:r>
      <w:bookmarkEnd w:id="15"/>
    </w:p>
    <w:p>
      <w:pPr>
        <w:spacing w:before="120" w:after="120" w:line="288" w:lineRule="auto"/>
        <w:ind w:left="0"/>
        <w:jc w:val="left"/>
      </w:pPr>
      <w:r>
        <w:rPr>
          <w:rFonts w:eastAsia="等线" w:ascii="Arial" w:cs="Arial" w:hAnsi="Arial"/>
          <w:b w:val="true"/>
          <w:sz w:val="22"/>
        </w:rPr>
        <w:t>风险判定</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b w:val="true"/>
          <w:sz w:val="22"/>
        </w:rPr>
        <w:t>单纯的借款和质押，在法律上不自动等同于控制权。</w:t>
      </w:r>
      <w:r>
        <w:rPr>
          <w:rFonts w:eastAsia="等线" w:ascii="Arial" w:cs="Arial" w:hAnsi="Arial"/>
          <w:sz w:val="22"/>
        </w:rPr>
        <w:t>（参考《民法典》物权编，质权人只有优先受偿权，无经营管理权）。</w:t>
      </w:r>
    </w:p>
    <w:p>
      <w:pPr>
        <w:numPr>
          <w:numId w:val="36"/>
        </w:numPr>
        <w:spacing w:before="120" w:after="120" w:line="288" w:lineRule="auto"/>
        <w:ind w:left="0"/>
        <w:jc w:val="left"/>
      </w:pPr>
      <w:r>
        <w:rPr>
          <w:rFonts w:eastAsia="等线" w:ascii="Arial" w:cs="Arial" w:hAnsi="Arial"/>
          <w:b w:val="true"/>
          <w:sz w:val="22"/>
        </w:rPr>
        <w:t>但是</w:t>
      </w:r>
      <w:r>
        <w:rPr>
          <w:rFonts w:eastAsia="等线" w:ascii="Arial" w:cs="Arial" w:hAnsi="Arial"/>
          <w:sz w:val="22"/>
        </w:rPr>
        <w:t>，如果借款协议或质押协议中包含“债权人有权指派董事”</w:t>
      </w:r>
      <w:r>
        <w:rPr>
          <w:rFonts w:eastAsia="等线" w:ascii="Arial" w:cs="Arial" w:hAnsi="Arial"/>
          <w:b w:val="true"/>
          <w:sz w:val="22"/>
        </w:rPr>
        <w:t>、</w:t>
      </w:r>
      <w:r>
        <w:rPr>
          <w:rFonts w:eastAsia="等线" w:ascii="Arial" w:cs="Arial" w:hAnsi="Arial"/>
          <w:sz w:val="22"/>
        </w:rPr>
        <w:t>“债务人行使表决权需经债权人同意”</w:t>
      </w:r>
      <w:r>
        <w:rPr>
          <w:rFonts w:eastAsia="等线" w:ascii="Arial" w:cs="Arial" w:hAnsi="Arial"/>
          <w:b w:val="true"/>
          <w:sz w:val="22"/>
        </w:rPr>
        <w:t>等条款，那么这就是典型的</w:t>
      </w:r>
      <w:r>
        <w:rPr>
          <w:rFonts w:eastAsia="等线" w:ascii="Arial" w:cs="Arial" w:hAnsi="Arial"/>
          <w:sz w:val="22"/>
        </w:rPr>
        <w:t>“协议控制（VIE架构逻辑）”。</w:t>
      </w:r>
    </w:p>
    <w:p>
      <w:pPr>
        <w:numPr>
          <w:numId w:val="37"/>
        </w:numPr>
        <w:spacing w:before="120" w:after="120" w:line="288" w:lineRule="auto"/>
        <w:ind w:left="0"/>
        <w:jc w:val="left"/>
      </w:pPr>
      <w:r>
        <w:rPr>
          <w:rFonts w:eastAsia="等线" w:ascii="Arial" w:cs="Arial" w:hAnsi="Arial"/>
          <w:b w:val="true"/>
          <w:sz w:val="22"/>
        </w:rPr>
        <w:t>结论</w:t>
      </w:r>
      <w:r>
        <w:rPr>
          <w:rFonts w:eastAsia="等线" w:ascii="Arial" w:cs="Arial" w:hAnsi="Arial"/>
          <w:sz w:val="22"/>
        </w:rPr>
        <w:t>：如果债权人是“老板L”，且协议里有干涉经营的条款，一旦协议曝光（如尽调或诉讼），老板L会被认定为实控人。</w:t>
      </w:r>
    </w:p>
    <w:p>
      <w:pPr>
        <w:pStyle w:val="3"/>
        <w:spacing w:before="300" w:after="120" w:line="288" w:lineRule="auto"/>
        <w:ind w:left="0"/>
        <w:jc w:val="left"/>
        <w:outlineLvl w:val="2"/>
      </w:pPr>
      <w:bookmarkStart w:name="heading_16" w:id="16"/>
      <w:r>
        <w:rPr>
          <w:rFonts w:eastAsia="等线" w:ascii="Arial" w:cs="Arial" w:hAnsi="Arial"/>
          <w:b w:val="true"/>
          <w:sz w:val="30"/>
        </w:rPr>
        <w:t>四、 给您的最终结论</w:t>
      </w:r>
      <w:bookmarkEnd w:id="16"/>
    </w:p>
    <w:p>
      <w:pPr>
        <w:numPr>
          <w:numId w:val="38"/>
        </w:numPr>
        <w:spacing w:before="120" w:after="120" w:line="288" w:lineRule="auto"/>
        <w:ind w:left="0"/>
        <w:jc w:val="left"/>
      </w:pPr>
      <w:r>
        <w:rPr>
          <w:rFonts w:eastAsia="等线" w:ascii="Arial" w:cs="Arial" w:hAnsi="Arial"/>
          <w:b w:val="true"/>
          <w:sz w:val="22"/>
        </w:rPr>
        <w:t>认定依据</w:t>
      </w:r>
      <w:r>
        <w:rPr>
          <w:rFonts w:eastAsia="等线" w:ascii="Arial" w:cs="Arial" w:hAnsi="Arial"/>
          <w:sz w:val="22"/>
        </w:rPr>
        <w:t>：主要依据《公司法》第265条和《上市公司收购管理办法》第84条。核心看“能否支配公司行为”。</w:t>
      </w:r>
    </w:p>
    <w:p>
      <w:pPr>
        <w:numPr>
          <w:numId w:val="39"/>
        </w:numPr>
        <w:spacing w:before="120" w:after="120" w:line="288" w:lineRule="auto"/>
        <w:ind w:left="0"/>
        <w:jc w:val="left"/>
      </w:pPr>
      <w:r>
        <w:rPr>
          <w:rFonts w:eastAsia="等线" w:ascii="Arial" w:cs="Arial" w:hAnsi="Arial"/>
          <w:b w:val="true"/>
          <w:sz w:val="22"/>
        </w:rPr>
        <w:t>无实控人操作</w:t>
      </w:r>
      <w:r>
        <w:rPr>
          <w:rFonts w:eastAsia="等线" w:ascii="Arial" w:cs="Arial" w:hAnsi="Arial"/>
          <w:sz w:val="22"/>
        </w:rPr>
        <w:t xml:space="preserve">：您目前的 </w:t>
      </w:r>
      <w:r>
        <w:rPr>
          <w:rFonts w:eastAsia="等线" w:ascii="Arial" w:cs="Arial" w:hAnsi="Arial"/>
          <w:b w:val="true"/>
          <w:sz w:val="22"/>
        </w:rPr>
        <w:t>“罗34% + 姚/周各持SPV1 50%”</w:t>
      </w:r>
      <w:r>
        <w:rPr>
          <w:rFonts w:eastAsia="等线" w:ascii="Arial" w:cs="Arial" w:hAnsi="Arial"/>
          <w:sz w:val="22"/>
        </w:rPr>
        <w:t xml:space="preserve"> 且 </w:t>
      </w:r>
      <w:r>
        <w:rPr>
          <w:rFonts w:eastAsia="等线" w:ascii="Arial" w:cs="Arial" w:hAnsi="Arial"/>
          <w:b w:val="true"/>
          <w:sz w:val="22"/>
        </w:rPr>
        <w:t>无一致行动</w:t>
      </w:r>
      <w:r>
        <w:rPr>
          <w:rFonts w:eastAsia="等线" w:ascii="Arial" w:cs="Arial" w:hAnsi="Arial"/>
          <w:sz w:val="22"/>
        </w:rPr>
        <w:t xml:space="preserve"> 的设计，在法律形式上完全符合“无实际控制人”的认定标准。</w:t>
      </w:r>
    </w:p>
    <w:p>
      <w:pPr>
        <w:numPr>
          <w:numId w:val="40"/>
        </w:numPr>
        <w:spacing w:before="120" w:after="120" w:line="288" w:lineRule="auto"/>
        <w:ind w:left="0"/>
        <w:jc w:val="left"/>
      </w:pPr>
      <w:r>
        <w:rPr>
          <w:rFonts w:eastAsia="等线" w:ascii="Arial" w:cs="Arial" w:hAnsi="Arial"/>
          <w:b w:val="true"/>
          <w:sz w:val="22"/>
        </w:rPr>
        <w:t>穿透风险</w:t>
      </w:r>
      <w:r>
        <w:rPr>
          <w:rFonts w:eastAsia="等线" w:ascii="Arial" w:cs="Arial" w:hAnsi="Arial"/>
          <w:sz w:val="22"/>
        </w:rPr>
        <w:t>：</w:t>
      </w:r>
    </w:p>
    <w:p>
      <w:pPr>
        <w:numPr>
          <w:numId w:val="41"/>
        </w:numPr>
        <w:spacing w:before="120" w:after="120" w:line="288" w:lineRule="auto"/>
        <w:ind w:left="453"/>
        <w:jc w:val="left"/>
      </w:pPr>
      <w:r>
        <w:rPr>
          <w:rFonts w:eastAsia="等线" w:ascii="Arial" w:cs="Arial" w:hAnsi="Arial"/>
          <w:sz w:val="22"/>
        </w:rPr>
        <w:t>如果</w:t>
      </w:r>
      <w:r>
        <w:rPr>
          <w:rFonts w:eastAsia="等线" w:ascii="Arial" w:cs="Arial" w:hAnsi="Arial"/>
          <w:b w:val="true"/>
          <w:sz w:val="22"/>
        </w:rPr>
        <w:t>债权人1</w:t>
      </w:r>
      <w:r>
        <w:rPr>
          <w:rFonts w:eastAsia="等线" w:ascii="Arial" w:cs="Arial" w:hAnsi="Arial"/>
          <w:sz w:val="22"/>
        </w:rPr>
        <w:t>是老板L关联方，且已办理工商质押登记，外部律师会倾向于认定为“存在潜在控制人的代持架构”，而非纯粹的“无实控人”。</w:t>
      </w:r>
    </w:p>
    <w:p>
      <w:pPr>
        <w:numPr>
          <w:numId w:val="42"/>
        </w:numPr>
        <w:spacing w:before="120" w:after="120" w:line="288" w:lineRule="auto"/>
        <w:ind w:left="453"/>
        <w:jc w:val="left"/>
      </w:pPr>
      <w:r>
        <w:rPr>
          <w:rFonts w:eastAsia="等线" w:ascii="Arial" w:cs="Arial" w:hAnsi="Arial"/>
          <w:b w:val="true"/>
          <w:sz w:val="22"/>
        </w:rPr>
        <w:t>应对</w:t>
      </w:r>
      <w:r>
        <w:rPr>
          <w:rFonts w:eastAsia="等线" w:ascii="Arial" w:cs="Arial" w:hAnsi="Arial"/>
          <w:sz w:val="22"/>
        </w:rPr>
        <w:t>：请务必按照前一条建议，使用隐蔽的第三方主体（马甲）作为债权人和质权人，切断与老板L的明面联系。</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13938">
    <w:lvl>
      <w:start w:val="1"/>
      <w:numFmt w:val="decimal"/>
      <w:suff w:val="tab"/>
      <w:lvlText w:val="%1."/>
      <w:rPr>
        <w:color w:val="3370ff"/>
      </w:rPr>
    </w:lvl>
  </w:abstractNum>
  <w:abstractNum w:abstractNumId="413939">
    <w:lvl>
      <w:numFmt w:val="bullet"/>
      <w:suff w:val="tab"/>
      <w:lvlText w:val="•"/>
      <w:rPr>
        <w:color w:val="3370ff"/>
      </w:rPr>
    </w:lvl>
  </w:abstractNum>
  <w:abstractNum w:abstractNumId="413940">
    <w:lvl>
      <w:numFmt w:val="bullet"/>
      <w:suff w:val="tab"/>
      <w:lvlText w:val="•"/>
      <w:rPr>
        <w:color w:val="3370ff"/>
      </w:rPr>
    </w:lvl>
  </w:abstractNum>
  <w:abstractNum w:abstractNumId="413941">
    <w:lvl>
      <w:start w:val="2"/>
      <w:numFmt w:val="decimal"/>
      <w:suff w:val="tab"/>
      <w:lvlText w:val="%1."/>
      <w:rPr>
        <w:color w:val="3370ff"/>
      </w:rPr>
    </w:lvl>
  </w:abstractNum>
  <w:abstractNum w:abstractNumId="413942">
    <w:lvl>
      <w:numFmt w:val="bullet"/>
      <w:suff w:val="tab"/>
      <w:lvlText w:val="•"/>
      <w:rPr>
        <w:color w:val="3370ff"/>
      </w:rPr>
    </w:lvl>
  </w:abstractNum>
  <w:abstractNum w:abstractNumId="413943">
    <w:lvl>
      <w:start w:val="3"/>
      <w:numFmt w:val="decimal"/>
      <w:suff w:val="tab"/>
      <w:lvlText w:val="%1."/>
      <w:rPr>
        <w:color w:val="3370ff"/>
      </w:rPr>
    </w:lvl>
  </w:abstractNum>
  <w:abstractNum w:abstractNumId="413944">
    <w:lvl>
      <w:numFmt w:val="bullet"/>
      <w:suff w:val="tab"/>
      <w:lvlText w:val="•"/>
      <w:rPr>
        <w:color w:val="3370ff"/>
      </w:rPr>
    </w:lvl>
  </w:abstractNum>
  <w:abstractNum w:abstractNumId="413945">
    <w:lvl>
      <w:numFmt w:val="bullet"/>
      <w:suff w:val="tab"/>
      <w:lvlText w:val="•"/>
      <w:rPr>
        <w:color w:val="3370ff"/>
      </w:rPr>
    </w:lvl>
  </w:abstractNum>
  <w:abstractNum w:abstractNumId="413946">
    <w:lvl>
      <w:numFmt w:val="bullet"/>
      <w:suff w:val="tab"/>
      <w:lvlText w:val="•"/>
      <w:rPr>
        <w:color w:val="3370ff"/>
      </w:rPr>
    </w:lvl>
  </w:abstractNum>
  <w:abstractNum w:abstractNumId="413947">
    <w:lvl>
      <w:numFmt w:val="bullet"/>
      <w:suff w:val="tab"/>
      <w:lvlText w:val="•"/>
      <w:rPr>
        <w:color w:val="3370ff"/>
      </w:rPr>
    </w:lvl>
  </w:abstractNum>
  <w:abstractNum w:abstractNumId="413948">
    <w:lvl>
      <w:start w:val="1"/>
      <w:numFmt w:val="decimal"/>
      <w:suff w:val="tab"/>
      <w:lvlText w:val="%1."/>
      <w:rPr>
        <w:color w:val="3370ff"/>
      </w:rPr>
    </w:lvl>
  </w:abstractNum>
  <w:abstractNum w:abstractNumId="413949">
    <w:lvl>
      <w:start w:val="2"/>
      <w:numFmt w:val="decimal"/>
      <w:suff w:val="tab"/>
      <w:lvlText w:val="%1."/>
      <w:rPr>
        <w:color w:val="3370ff"/>
      </w:rPr>
    </w:lvl>
  </w:abstractNum>
  <w:abstractNum w:abstractNumId="413950">
    <w:lvl>
      <w:start w:val="3"/>
      <w:numFmt w:val="decimal"/>
      <w:suff w:val="tab"/>
      <w:lvlText w:val="%1."/>
      <w:rPr>
        <w:color w:val="3370ff"/>
      </w:rPr>
    </w:lvl>
  </w:abstractNum>
  <w:abstractNum w:abstractNumId="413951">
    <w:lvl>
      <w:start w:val="4"/>
      <w:numFmt w:val="decimal"/>
      <w:suff w:val="tab"/>
      <w:lvlText w:val="%1."/>
      <w:rPr>
        <w:color w:val="3370ff"/>
      </w:rPr>
    </w:lvl>
  </w:abstractNum>
  <w:abstractNum w:abstractNumId="413952">
    <w:lvl>
      <w:start w:val="5"/>
      <w:numFmt w:val="decimal"/>
      <w:suff w:val="tab"/>
      <w:lvlText w:val="%1."/>
      <w:rPr>
        <w:color w:val="3370ff"/>
      </w:rPr>
    </w:lvl>
  </w:abstractNum>
  <w:abstractNum w:abstractNumId="413953">
    <w:lvl>
      <w:numFmt w:val="bullet"/>
      <w:suff w:val="tab"/>
      <w:lvlText w:val="•"/>
      <w:rPr>
        <w:color w:val="3370ff"/>
      </w:rPr>
    </w:lvl>
  </w:abstractNum>
  <w:abstractNum w:abstractNumId="413954">
    <w:lvl>
      <w:numFmt w:val="bullet"/>
      <w:suff w:val="tab"/>
      <w:lvlText w:val="•"/>
      <w:rPr>
        <w:color w:val="3370ff"/>
      </w:rPr>
    </w:lvl>
  </w:abstractNum>
  <w:abstractNum w:abstractNumId="413955">
    <w:lvl>
      <w:numFmt w:val="bullet"/>
      <w:suff w:val="tab"/>
      <w:lvlText w:val="•"/>
      <w:rPr>
        <w:color w:val="3370ff"/>
      </w:rPr>
    </w:lvl>
  </w:abstractNum>
  <w:abstractNum w:abstractNumId="413956">
    <w:lvl>
      <w:numFmt w:val="bullet"/>
      <w:suff w:val="tab"/>
      <w:lvlText w:val="•"/>
      <w:rPr>
        <w:color w:val="3370ff"/>
      </w:rPr>
    </w:lvl>
  </w:abstractNum>
  <w:abstractNum w:abstractNumId="413957">
    <w:lvl>
      <w:numFmt w:val="bullet"/>
      <w:suff w:val="tab"/>
      <w:lvlText w:val="•"/>
      <w:rPr>
        <w:color w:val="3370ff"/>
      </w:rPr>
    </w:lvl>
  </w:abstractNum>
  <w:abstractNum w:abstractNumId="413958">
    <w:lvl>
      <w:numFmt w:val="bullet"/>
      <w:suff w:val="tab"/>
      <w:lvlText w:val="•"/>
      <w:rPr>
        <w:color w:val="3370ff"/>
      </w:rPr>
    </w:lvl>
  </w:abstractNum>
  <w:abstractNum w:abstractNumId="413959">
    <w:lvl>
      <w:numFmt w:val="bullet"/>
      <w:suff w:val="tab"/>
      <w:lvlText w:val="•"/>
      <w:rPr>
        <w:color w:val="3370ff"/>
      </w:rPr>
    </w:lvl>
  </w:abstractNum>
  <w:abstractNum w:abstractNumId="413960">
    <w:lvl>
      <w:numFmt w:val="bullet"/>
      <w:suff w:val="tab"/>
      <w:lvlText w:val="•"/>
      <w:rPr>
        <w:color w:val="3370ff"/>
      </w:rPr>
    </w:lvl>
  </w:abstractNum>
  <w:abstractNum w:abstractNumId="413961">
    <w:lvl>
      <w:numFmt w:val="bullet"/>
      <w:suff w:val="tab"/>
      <w:lvlText w:val="•"/>
      <w:rPr>
        <w:color w:val="3370ff"/>
      </w:rPr>
    </w:lvl>
  </w:abstractNum>
  <w:abstractNum w:abstractNumId="413962">
    <w:lvl>
      <w:numFmt w:val="bullet"/>
      <w:suff w:val="tab"/>
      <w:lvlText w:val="•"/>
      <w:rPr>
        <w:color w:val="3370ff"/>
      </w:rPr>
    </w:lvl>
  </w:abstractNum>
  <w:abstractNum w:abstractNumId="413963">
    <w:lvl>
      <w:numFmt w:val="bullet"/>
      <w:suff w:val="tab"/>
      <w:lvlText w:val="•"/>
      <w:rPr>
        <w:color w:val="3370ff"/>
      </w:rPr>
    </w:lvl>
  </w:abstractNum>
  <w:abstractNum w:abstractNumId="413964">
    <w:lvl>
      <w:start w:val="1"/>
      <w:numFmt w:val="lowerLetter"/>
      <w:suff w:val="tab"/>
      <w:lvlText w:val="%1."/>
      <w:rPr>
        <w:color w:val="3370ff"/>
      </w:rPr>
    </w:lvl>
  </w:abstractNum>
  <w:abstractNum w:abstractNumId="413965">
    <w:lvl>
      <w:start w:val="2"/>
      <w:numFmt w:val="lowerLetter"/>
      <w:suff w:val="tab"/>
      <w:lvlText w:val="%1."/>
      <w:rPr>
        <w:color w:val="3370ff"/>
      </w:rPr>
    </w:lvl>
  </w:abstractNum>
  <w:abstractNum w:abstractNumId="413966">
    <w:lvl>
      <w:start w:val="3"/>
      <w:numFmt w:val="lowerLetter"/>
      <w:suff w:val="tab"/>
      <w:lvlText w:val="%1."/>
      <w:rPr>
        <w:color w:val="3370ff"/>
      </w:rPr>
    </w:lvl>
  </w:abstractNum>
  <w:abstractNum w:abstractNumId="413967">
    <w:lvl>
      <w:numFmt w:val="bullet"/>
      <w:suff w:val="tab"/>
      <w:lvlText w:val="•"/>
      <w:rPr>
        <w:color w:val="3370ff"/>
      </w:rPr>
    </w:lvl>
  </w:abstractNum>
  <w:abstractNum w:abstractNumId="413968">
    <w:lvl>
      <w:numFmt w:val="bullet"/>
      <w:suff w:val="tab"/>
      <w:lvlText w:val="•"/>
      <w:rPr>
        <w:color w:val="3370ff"/>
      </w:rPr>
    </w:lvl>
  </w:abstractNum>
  <w:abstractNum w:abstractNumId="413969">
    <w:lvl>
      <w:numFmt w:val="bullet"/>
      <w:suff w:val="tab"/>
      <w:lvlText w:val="•"/>
      <w:rPr>
        <w:color w:val="3370ff"/>
      </w:rPr>
    </w:lvl>
  </w:abstractNum>
  <w:abstractNum w:abstractNumId="413970">
    <w:lvl>
      <w:numFmt w:val="bullet"/>
      <w:suff w:val="tab"/>
      <w:lvlText w:val="•"/>
      <w:rPr>
        <w:color w:val="3370ff"/>
      </w:rPr>
    </w:lvl>
  </w:abstractNum>
  <w:abstractNum w:abstractNumId="413971">
    <w:lvl>
      <w:numFmt w:val="bullet"/>
      <w:suff w:val="tab"/>
      <w:lvlText w:val="•"/>
      <w:rPr>
        <w:color w:val="3370ff"/>
      </w:rPr>
    </w:lvl>
  </w:abstractNum>
  <w:abstractNum w:abstractNumId="413972">
    <w:lvl>
      <w:numFmt w:val="bullet"/>
      <w:suff w:val="tab"/>
      <w:lvlText w:val="•"/>
      <w:rPr>
        <w:color w:val="3370ff"/>
      </w:rPr>
    </w:lvl>
  </w:abstractNum>
  <w:abstractNum w:abstractNumId="413973">
    <w:lvl>
      <w:numFmt w:val="bullet"/>
      <w:suff w:val="tab"/>
      <w:lvlText w:val="•"/>
      <w:rPr>
        <w:color w:val="3370ff"/>
      </w:rPr>
    </w:lvl>
  </w:abstractNum>
  <w:abstractNum w:abstractNumId="413974">
    <w:lvl>
      <w:numFmt w:val="bullet"/>
      <w:suff w:val="tab"/>
      <w:lvlText w:val="•"/>
      <w:rPr>
        <w:color w:val="3370ff"/>
      </w:rPr>
    </w:lvl>
  </w:abstractNum>
  <w:abstractNum w:abstractNumId="413975">
    <w:lvl>
      <w:start w:val="1"/>
      <w:numFmt w:val="decimal"/>
      <w:suff w:val="tab"/>
      <w:lvlText w:val="%1."/>
      <w:rPr>
        <w:color w:val="3370ff"/>
      </w:rPr>
    </w:lvl>
  </w:abstractNum>
  <w:abstractNum w:abstractNumId="413976">
    <w:lvl>
      <w:start w:val="2"/>
      <w:numFmt w:val="decimal"/>
      <w:suff w:val="tab"/>
      <w:lvlText w:val="%1."/>
      <w:rPr>
        <w:color w:val="3370ff"/>
      </w:rPr>
    </w:lvl>
  </w:abstractNum>
  <w:abstractNum w:abstractNumId="413977">
    <w:lvl>
      <w:start w:val="3"/>
      <w:numFmt w:val="decimal"/>
      <w:suff w:val="tab"/>
      <w:lvlText w:val="%1."/>
      <w:rPr>
        <w:color w:val="3370ff"/>
      </w:rPr>
    </w:lvl>
  </w:abstractNum>
  <w:abstractNum w:abstractNumId="413978">
    <w:lvl>
      <w:numFmt w:val="bullet"/>
      <w:suff w:val="tab"/>
      <w:lvlText w:val="￮"/>
      <w:rPr>
        <w:color w:val="3370ff"/>
      </w:rPr>
    </w:lvl>
  </w:abstractNum>
  <w:abstractNum w:abstractNumId="413979">
    <w:lvl>
      <w:numFmt w:val="bullet"/>
      <w:suff w:val="tab"/>
      <w:lvlText w:val="￮"/>
      <w:rPr>
        <w:color w:val="3370ff"/>
      </w:rPr>
    </w:lvl>
  </w:abstractNum>
  <w:num w:numId="1">
    <w:abstractNumId w:val="413938"/>
  </w:num>
  <w:num w:numId="2">
    <w:abstractNumId w:val="413939"/>
  </w:num>
  <w:num w:numId="3">
    <w:abstractNumId w:val="413940"/>
  </w:num>
  <w:num w:numId="4">
    <w:abstractNumId w:val="413941"/>
  </w:num>
  <w:num w:numId="5">
    <w:abstractNumId w:val="413942"/>
  </w:num>
  <w:num w:numId="6">
    <w:abstractNumId w:val="413943"/>
  </w:num>
  <w:num w:numId="7">
    <w:abstractNumId w:val="413944"/>
  </w:num>
  <w:num w:numId="8">
    <w:abstractNumId w:val="413945"/>
  </w:num>
  <w:num w:numId="9">
    <w:abstractNumId w:val="413946"/>
  </w:num>
  <w:num w:numId="10">
    <w:abstractNumId w:val="413947"/>
  </w:num>
  <w:num w:numId="11">
    <w:abstractNumId w:val="413948"/>
  </w:num>
  <w:num w:numId="12">
    <w:abstractNumId w:val="413949"/>
  </w:num>
  <w:num w:numId="13">
    <w:abstractNumId w:val="413950"/>
  </w:num>
  <w:num w:numId="14">
    <w:abstractNumId w:val="413951"/>
  </w:num>
  <w:num w:numId="15">
    <w:abstractNumId w:val="413952"/>
  </w:num>
  <w:num w:numId="16">
    <w:abstractNumId w:val="413953"/>
  </w:num>
  <w:num w:numId="17">
    <w:abstractNumId w:val="413954"/>
  </w:num>
  <w:num w:numId="18">
    <w:abstractNumId w:val="413955"/>
  </w:num>
  <w:num w:numId="19">
    <w:abstractNumId w:val="413956"/>
  </w:num>
  <w:num w:numId="20">
    <w:abstractNumId w:val="413957"/>
  </w:num>
  <w:num w:numId="21">
    <w:abstractNumId w:val="413958"/>
  </w:num>
  <w:num w:numId="22">
    <w:abstractNumId w:val="413959"/>
  </w:num>
  <w:num w:numId="23">
    <w:abstractNumId w:val="413960"/>
  </w:num>
  <w:num w:numId="24">
    <w:abstractNumId w:val="413961"/>
  </w:num>
  <w:num w:numId="25">
    <w:abstractNumId w:val="413962"/>
  </w:num>
  <w:num w:numId="26">
    <w:abstractNumId w:val="413963"/>
  </w:num>
  <w:num w:numId="27">
    <w:abstractNumId w:val="413964"/>
  </w:num>
  <w:num w:numId="28">
    <w:abstractNumId w:val="413965"/>
  </w:num>
  <w:num w:numId="29">
    <w:abstractNumId w:val="413966"/>
  </w:num>
  <w:num w:numId="30">
    <w:abstractNumId w:val="413967"/>
  </w:num>
  <w:num w:numId="31">
    <w:abstractNumId w:val="413968"/>
  </w:num>
  <w:num w:numId="32">
    <w:abstractNumId w:val="413969"/>
  </w:num>
  <w:num w:numId="33">
    <w:abstractNumId w:val="413970"/>
  </w:num>
  <w:num w:numId="34">
    <w:abstractNumId w:val="413971"/>
  </w:num>
  <w:num w:numId="35">
    <w:abstractNumId w:val="413972"/>
  </w:num>
  <w:num w:numId="36">
    <w:abstractNumId w:val="413973"/>
  </w:num>
  <w:num w:numId="37">
    <w:abstractNumId w:val="413974"/>
  </w:num>
  <w:num w:numId="38">
    <w:abstractNumId w:val="413975"/>
  </w:num>
  <w:num w:numId="39">
    <w:abstractNumId w:val="413976"/>
  </w:num>
  <w:num w:numId="40">
    <w:abstractNumId w:val="413977"/>
  </w:num>
  <w:num w:numId="41">
    <w:abstractNumId w:val="413978"/>
  </w:num>
  <w:num w:numId="42">
    <w:abstractNumId w:val="4139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2025-12-02T15:46:50Z</dcterms:created>
  <dc:creator>Apache POI</dc:creator>
</cp:coreProperties>
</file>