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华锐智呈整体股权调整方案</w:t>
      </w:r>
    </w:p>
    <w:p>
      <w:pPr>
        <w:pStyle w:val="2"/>
        <w:spacing w:before="320" w:after="120" w:line="288" w:lineRule="auto"/>
        <w:ind w:left="0"/>
        <w:jc w:val="left"/>
        <w:outlineLvl w:val="1"/>
      </w:pPr>
      <w:bookmarkStart w:name="heading_0" w:id="0"/>
      <w:r>
        <w:rPr>
          <w:rFonts w:eastAsia="等线" w:ascii="Arial" w:cs="Arial" w:hAnsi="Arial"/>
          <w:b w:val="true"/>
          <w:sz w:val="32"/>
        </w:rPr>
        <w:t>一、项目背景与整体目标</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项目背景：</w:t>
      </w:r>
      <w:bookmarkEnd w:id="1"/>
    </w:p>
    <w:p>
      <w:pPr>
        <w:spacing w:before="120" w:after="120" w:line="288" w:lineRule="auto"/>
        <w:ind w:left="0"/>
        <w:jc w:val="left"/>
      </w:pPr>
      <w:r>
        <w:rPr>
          <w:rFonts w:eastAsia="等线" w:ascii="Arial" w:cs="Arial" w:hAnsi="Arial"/>
          <w:sz w:val="22"/>
        </w:rPr>
        <w:t>四川华锐智呈新能源科技发展有限公司（以下简称“华锐智呈”）目前为集团内新能源与综合能源服务的重要业务承载主体，承担虚拟电厂、节能改造、综合能源服务等核心项目。随着业务发展及管理层团队逐步成熟，经股东方和管理层充分沟通，拟通过管理层收购方式，引入以管理层为主的股权结构和治理架构，以提升经营效率、强化激励约束并增强公司市场化能力，同时将华锐智呈体系下所有公司与安正体系相剥离。</w:t>
      </w:r>
    </w:p>
    <w:p>
      <w:pPr>
        <w:spacing w:before="120" w:after="120" w:line="288" w:lineRule="auto"/>
        <w:ind w:left="0"/>
        <w:jc w:val="left"/>
      </w:pPr>
      <w:r>
        <w:rPr>
          <w:rFonts w:eastAsia="等线" w:ascii="Arial" w:cs="Arial" w:hAnsi="Arial"/>
          <w:sz w:val="22"/>
        </w:rPr>
        <w:t>本项目拟以</w:t>
      </w:r>
      <w:r>
        <w:rPr>
          <w:rFonts w:eastAsia="等线" w:ascii="Arial" w:cs="Arial" w:hAnsi="Arial"/>
          <w:b w:val="true"/>
          <w:sz w:val="22"/>
        </w:rPr>
        <w:t>罗欢、姚佳伶、周亚越、邹端</w:t>
      </w:r>
      <w:r>
        <w:rPr>
          <w:rFonts w:eastAsia="等线" w:ascii="Arial" w:cs="Arial" w:hAnsi="Arial"/>
          <w:sz w:val="22"/>
        </w:rPr>
        <w:t>四</w:t>
      </w:r>
      <w:r>
        <w:rPr>
          <w:rFonts w:eastAsia="等线" w:ascii="Arial" w:cs="Arial" w:hAnsi="Arial"/>
          <w:sz w:val="22"/>
        </w:rPr>
        <w:t>位核心管理者为主导，通过 SPV 间接持有华锐智呈 100% 股权，并在股权交割后同步完成公司法人、董事、高管等工商登记信息的变更，针对以上四位自然人的股权设计，初步考虑了以下三种方案：</w:t>
      </w:r>
    </w:p>
    <w:p>
      <w:pPr>
        <w:pStyle w:val="4"/>
        <w:spacing w:before="260" w:after="120" w:line="288" w:lineRule="auto"/>
        <w:ind w:left="0"/>
        <w:jc w:val="left"/>
        <w:outlineLvl w:val="3"/>
      </w:pPr>
      <w:bookmarkStart w:name="heading_2" w:id="2"/>
      <w:r>
        <w:rPr>
          <w:rFonts w:eastAsia="等线" w:ascii="Arial" w:cs="Arial" w:hAnsi="Arial"/>
          <w:b w:val="true"/>
          <w:sz w:val="28"/>
        </w:rPr>
        <w:t>方案一：多SPV交叉持股</w:t>
      </w:r>
      <w:bookmarkEnd w:id="2"/>
    </w:p>
    <w:p>
      <w:pPr>
        <w:spacing w:before="120" w:after="120" w:line="288" w:lineRule="auto"/>
        <w:ind w:left="0"/>
        <w:jc w:val="center"/>
      </w:pPr>
      <w:r>
        <w:drawing>
          <wp:inline distT="0" distR="0" distB="0" distL="0">
            <wp:extent cx="5257800" cy="1981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19812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结构特点：</w:t>
      </w:r>
    </w:p>
    <w:p>
      <w:pPr>
        <w:numPr>
          <w:numId w:val="1"/>
        </w:numPr>
        <w:spacing w:before="120" w:after="120" w:line="288" w:lineRule="auto"/>
        <w:ind w:left="0"/>
        <w:jc w:val="left"/>
      </w:pPr>
      <w:r>
        <w:rPr>
          <w:rFonts w:eastAsia="等线" w:ascii="Arial" w:cs="Arial" w:hAnsi="Arial"/>
          <w:b w:val="true"/>
          <w:sz w:val="22"/>
        </w:rPr>
        <w:t>风险隔离</w:t>
      </w:r>
      <w:r>
        <w:rPr>
          <w:rFonts w:eastAsia="等线" w:ascii="Arial" w:cs="Arial" w:hAnsi="Arial"/>
          <w:sz w:val="22"/>
        </w:rPr>
        <w:t>：理论上“圈最多”，实务中监管和银行都会穿透到四位自然人，自然人风险并没有被本质隔离多少。</w:t>
      </w:r>
    </w:p>
    <w:p>
      <w:pPr>
        <w:numPr>
          <w:numId w:val="2"/>
        </w:numPr>
        <w:spacing w:before="120" w:after="120" w:line="288" w:lineRule="auto"/>
        <w:ind w:left="0"/>
        <w:jc w:val="left"/>
      </w:pPr>
      <w:r>
        <w:rPr>
          <w:rFonts w:eastAsia="等线" w:ascii="Arial" w:cs="Arial" w:hAnsi="Arial"/>
          <w:b w:val="true"/>
          <w:sz w:val="22"/>
        </w:rPr>
        <w:t>治理</w:t>
      </w:r>
      <w:r>
        <w:rPr>
          <w:rFonts w:eastAsia="等线" w:ascii="Arial" w:cs="Arial" w:hAnsi="Arial"/>
          <w:sz w:val="22"/>
        </w:rPr>
        <w:t>：股东太多、平台太多，决策链长，容易程序瑕疵+内耗，“一眼假”的典型结构。</w:t>
      </w:r>
    </w:p>
    <w:p>
      <w:pPr>
        <w:numPr>
          <w:numId w:val="3"/>
        </w:numPr>
        <w:spacing w:before="120" w:after="120" w:line="288" w:lineRule="auto"/>
        <w:ind w:left="0"/>
        <w:jc w:val="left"/>
      </w:pPr>
      <w:r>
        <w:rPr>
          <w:rFonts w:eastAsia="等线" w:ascii="Arial" w:cs="Arial" w:hAnsi="Arial"/>
          <w:b w:val="true"/>
          <w:sz w:val="22"/>
        </w:rPr>
        <w:t>成本</w:t>
      </w:r>
      <w:r>
        <w:rPr>
          <w:rFonts w:eastAsia="等线" w:ascii="Arial" w:cs="Arial" w:hAnsi="Arial"/>
          <w:sz w:val="22"/>
        </w:rPr>
        <w:t>：设立、维护、记账、年报、税务都很重。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结论：</w:t>
            </w:r>
            <w:r>
              <w:rPr>
                <w:rFonts w:eastAsia="等线" w:ascii="Arial" w:cs="Arial" w:hAnsi="Arial"/>
                <w:b w:val="true"/>
                <w:color w:val="646a73"/>
                <w:sz w:val="22"/>
              </w:rPr>
              <w:t>性价比极低，不建议采用。</w:t>
            </w:r>
          </w:p>
        </w:tc>
      </w:tr>
    </w:tbl>
    <w:p>
      <w:pPr>
        <w:pStyle w:val="4"/>
        <w:spacing w:before="260" w:after="120" w:line="288" w:lineRule="auto"/>
        <w:ind w:left="0"/>
        <w:jc w:val="left"/>
        <w:outlineLvl w:val="3"/>
      </w:pPr>
      <w:bookmarkStart w:name="heading_3" w:id="3"/>
      <w:r>
        <w:rPr>
          <w:rFonts w:eastAsia="等线" w:ascii="Arial" w:cs="Arial" w:hAnsi="Arial"/>
          <w:b w:val="true"/>
          <w:color w:val="d83931"/>
          <w:sz w:val="28"/>
        </w:rPr>
        <w:t>方案二（推荐）：自然人直接持股 SPV</w:t>
      </w:r>
      <w:bookmarkEnd w:id="3"/>
    </w:p>
    <w:p>
      <w:pPr>
        <w:spacing w:before="120" w:after="120" w:line="288" w:lineRule="auto"/>
        <w:ind w:left="0"/>
        <w:jc w:val="center"/>
      </w:pPr>
      <w:r>
        <w:drawing>
          <wp:inline distT="0" distR="0" distB="0" distL="0">
            <wp:extent cx="5257800" cy="1914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1914525"/>
                    </a:xfrm>
                    <a:prstGeom prst="rect">
                      <a:avLst/>
                    </a:prstGeom>
                  </pic:spPr>
                </pic:pic>
              </a:graphicData>
            </a:graphic>
          </wp:inline>
        </w:drawing>
      </w:r>
    </w:p>
    <w:p>
      <w:pPr>
        <w:numPr>
          <w:numId w:val="4"/>
        </w:numPr>
        <w:spacing w:before="120" w:after="120" w:line="288" w:lineRule="auto"/>
        <w:ind w:left="0"/>
        <w:jc w:val="left"/>
      </w:pPr>
      <w:r>
        <w:rPr>
          <w:rFonts w:eastAsia="等线" w:ascii="Arial" w:cs="Arial" w:hAnsi="Arial"/>
          <w:b w:val="true"/>
          <w:sz w:val="22"/>
        </w:rPr>
        <w:t>风险隔离</w:t>
      </w:r>
      <w:r>
        <w:rPr>
          <w:rFonts w:eastAsia="等线" w:ascii="Arial" w:cs="Arial" w:hAnsi="Arial"/>
          <w:sz w:val="22"/>
        </w:rPr>
        <w:t>：中间设立一层防火墙公司，拥有一定的风险隔离机制</w:t>
      </w:r>
    </w:p>
    <w:p>
      <w:pPr>
        <w:numPr>
          <w:numId w:val="5"/>
        </w:numPr>
        <w:spacing w:before="120" w:after="120" w:line="288" w:lineRule="auto"/>
        <w:ind w:left="0"/>
        <w:jc w:val="left"/>
      </w:pPr>
      <w:r>
        <w:rPr>
          <w:rFonts w:eastAsia="等线" w:ascii="Arial" w:cs="Arial" w:hAnsi="Arial"/>
          <w:b w:val="true"/>
          <w:sz w:val="22"/>
        </w:rPr>
        <w:t>治理</w:t>
      </w:r>
      <w:r>
        <w:rPr>
          <w:rFonts w:eastAsia="等线" w:ascii="Arial" w:cs="Arial" w:hAnsi="Arial"/>
          <w:sz w:val="22"/>
        </w:rPr>
        <w:t>：结构最清晰，工商、银行、融资方都一眼看懂，通过</w:t>
      </w:r>
      <w:r>
        <w:rPr>
          <w:rFonts w:eastAsia="等线" w:ascii="Arial" w:cs="Arial" w:hAnsi="Arial"/>
          <w:b w:val="true"/>
          <w:sz w:val="22"/>
        </w:rPr>
        <w:t>公司章程 + 股东协议</w:t>
      </w:r>
      <w:r>
        <w:rPr>
          <w:rFonts w:eastAsia="等线" w:ascii="Arial" w:cs="Arial" w:hAnsi="Arial"/>
          <w:sz w:val="22"/>
        </w:rPr>
        <w:t>就能把决策机制、退出机制、竞业限制等写清楚。</w:t>
      </w:r>
    </w:p>
    <w:p>
      <w:pPr>
        <w:numPr>
          <w:numId w:val="6"/>
        </w:numPr>
        <w:spacing w:before="120" w:after="120" w:line="288" w:lineRule="auto"/>
        <w:ind w:left="0"/>
        <w:jc w:val="left"/>
      </w:pPr>
      <w:r>
        <w:rPr>
          <w:rFonts w:eastAsia="等线" w:ascii="Arial" w:cs="Arial" w:hAnsi="Arial"/>
          <w:b w:val="true"/>
          <w:sz w:val="22"/>
        </w:rPr>
        <w:t>成本</w:t>
      </w:r>
      <w:r>
        <w:rPr>
          <w:rFonts w:eastAsia="等线" w:ascii="Arial" w:cs="Arial" w:hAnsi="Arial"/>
          <w:sz w:val="22"/>
        </w:rPr>
        <w:t>：设立简单、后续维护成本最低，配合好股东协议，就足够支撑后续融资、引战等需求。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结论：</w:t>
            </w:r>
            <w:r>
              <w:rPr>
                <w:rFonts w:eastAsia="等线" w:ascii="Arial" w:cs="Arial" w:hAnsi="Arial"/>
                <w:b w:val="true"/>
                <w:color w:val="646a73"/>
                <w:sz w:val="22"/>
              </w:rPr>
              <w:t>在“真实可执行 + 治理清晰”维度上最优</w:t>
            </w:r>
          </w:p>
        </w:tc>
      </w:tr>
    </w:tbl>
    <w:p>
      <w:pPr>
        <w:pStyle w:val="4"/>
        <w:spacing w:before="260" w:after="120" w:line="288" w:lineRule="auto"/>
        <w:ind w:left="0"/>
        <w:jc w:val="left"/>
        <w:outlineLvl w:val="3"/>
      </w:pPr>
      <w:bookmarkStart w:name="heading_4" w:id="4"/>
      <w:r>
        <w:rPr>
          <w:rFonts w:eastAsia="等线" w:ascii="Arial" w:cs="Arial" w:hAnsi="Arial"/>
          <w:b w:val="true"/>
          <w:sz w:val="28"/>
        </w:rPr>
        <w:t>方案三：2+2各持SPV50%股权</w:t>
      </w:r>
      <w:bookmarkEnd w:id="4"/>
    </w:p>
    <w:p>
      <w:pPr>
        <w:spacing w:before="120" w:after="120" w:line="288" w:lineRule="auto"/>
        <w:ind w:left="0"/>
        <w:jc w:val="center"/>
      </w:pPr>
      <w:r>
        <w:drawing>
          <wp:inline distT="0" distR="0" distB="0" distL="0">
            <wp:extent cx="5257800" cy="25717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571750"/>
                    </a:xfrm>
                    <a:prstGeom prst="rect">
                      <a:avLst/>
                    </a:prstGeom>
                  </pic:spPr>
                </pic:pic>
              </a:graphicData>
            </a:graphic>
          </wp:inline>
        </w:drawing>
      </w:r>
    </w:p>
    <w:p>
      <w:pPr>
        <w:numPr>
          <w:numId w:val="7"/>
        </w:numPr>
        <w:spacing w:before="120" w:after="120" w:line="288" w:lineRule="auto"/>
        <w:ind w:left="0"/>
        <w:jc w:val="left"/>
      </w:pPr>
      <w:r>
        <w:rPr>
          <w:rFonts w:eastAsia="等线" w:ascii="Arial" w:cs="Arial" w:hAnsi="Arial"/>
          <w:b w:val="true"/>
          <w:sz w:val="22"/>
        </w:rPr>
        <w:t>风险隔离</w:t>
      </w:r>
      <w:r>
        <w:rPr>
          <w:rFonts w:eastAsia="等线" w:ascii="Arial" w:cs="Arial" w:hAnsi="Arial"/>
          <w:sz w:val="22"/>
        </w:rPr>
        <w:t>：比方案2多一层平台，比方案1简单干净；若用有限合伙，还能进一步优化风险承担边界。</w:t>
      </w:r>
    </w:p>
    <w:p>
      <w:pPr>
        <w:numPr>
          <w:numId w:val="8"/>
        </w:numPr>
        <w:spacing w:before="120" w:after="120" w:line="288" w:lineRule="auto"/>
        <w:ind w:left="0"/>
        <w:jc w:val="left"/>
      </w:pPr>
      <w:r>
        <w:rPr>
          <w:rFonts w:eastAsia="等线" w:ascii="Arial" w:cs="Arial" w:hAnsi="Arial"/>
          <w:b w:val="true"/>
          <w:sz w:val="22"/>
        </w:rPr>
        <w:t>治理</w:t>
      </w:r>
      <w:r>
        <w:rPr>
          <w:rFonts w:eastAsia="等线" w:ascii="Arial" w:cs="Arial" w:hAnsi="Arial"/>
          <w:sz w:val="22"/>
        </w:rPr>
        <w:t>：持股公司层只有两大股东（SPV1\SPV2），对外形象好，但存在 50%/50% 僵局风险，需要在章程和合伙协议里设计好“打破僵局”的条款。</w:t>
      </w:r>
    </w:p>
    <w:p>
      <w:pPr>
        <w:numPr>
          <w:numId w:val="9"/>
        </w:numPr>
        <w:spacing w:before="120" w:after="120" w:line="288" w:lineRule="auto"/>
        <w:ind w:left="0"/>
        <w:jc w:val="left"/>
      </w:pPr>
      <w:r>
        <w:rPr>
          <w:rFonts w:eastAsia="等线" w:ascii="Arial" w:cs="Arial" w:hAnsi="Arial"/>
          <w:b w:val="true"/>
          <w:sz w:val="22"/>
        </w:rPr>
        <w:t>成本</w:t>
      </w:r>
      <w:r>
        <w:rPr>
          <w:rFonts w:eastAsia="等线" w:ascii="Arial" w:cs="Arial" w:hAnsi="Arial"/>
          <w:sz w:val="22"/>
        </w:rPr>
        <w:t>：多两个实体，架构比方案2复杂一档，但可接受。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结论：</w:t>
            </w:r>
            <w:r>
              <w:rPr>
                <w:rFonts w:eastAsia="等线" w:ascii="Arial" w:cs="Arial" w:hAnsi="Arial"/>
                <w:b w:val="true"/>
                <w:color w:val="646a73"/>
                <w:sz w:val="22"/>
              </w:rPr>
              <w:t>在需要稍强风险隔离、又不想太复杂时可以考虑，是方案2的备选。</w:t>
            </w:r>
          </w:p>
        </w:tc>
      </w:tr>
    </w:tbl>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结合以上三种股权方案对比，本次股权调整建议采用</w:t>
            </w:r>
            <w:r>
              <w:rPr>
                <w:rFonts w:eastAsia="等线" w:ascii="Arial" w:cs="Arial" w:hAnsi="Arial"/>
                <w:b w:val="true"/>
                <w:sz w:val="22"/>
              </w:rPr>
              <w:t>方案二</w:t>
            </w:r>
            <w:r>
              <w:rPr>
                <w:rFonts w:eastAsia="等线" w:ascii="Arial" w:cs="Arial" w:hAnsi="Arial"/>
                <w:sz w:val="22"/>
              </w:rPr>
              <w:t>的股权设计</w:t>
            </w:r>
          </w:p>
        </w:tc>
      </w:tr>
    </w:tbl>
    <w:p>
      <w:pPr>
        <w:pStyle w:val="3"/>
        <w:spacing w:before="300" w:after="120" w:line="288" w:lineRule="auto"/>
        <w:ind w:left="0"/>
        <w:jc w:val="left"/>
        <w:outlineLvl w:val="2"/>
      </w:pPr>
      <w:bookmarkStart w:name="heading_5" w:id="5"/>
      <w:r>
        <w:rPr>
          <w:rFonts w:eastAsia="等线" w:ascii="Arial" w:cs="Arial" w:hAnsi="Arial"/>
          <w:b w:val="true"/>
          <w:sz w:val="30"/>
        </w:rPr>
        <w:t>整体目标：</w:t>
      </w:r>
      <w:bookmarkEnd w:id="5"/>
    </w:p>
    <w:p>
      <w:pPr>
        <w:numPr>
          <w:numId w:val="10"/>
        </w:numPr>
        <w:spacing w:before="120" w:after="120" w:line="288" w:lineRule="auto"/>
        <w:ind w:left="0"/>
        <w:jc w:val="left"/>
      </w:pPr>
      <w:r>
        <w:rPr>
          <w:rFonts w:eastAsia="等线" w:ascii="Arial" w:cs="Arial" w:hAnsi="Arial"/>
          <w:b w:val="true"/>
          <w:sz w:val="22"/>
        </w:rPr>
        <w:t>主要目标：</w:t>
      </w:r>
      <w:r>
        <w:rPr>
          <w:rFonts w:eastAsia="等线" w:ascii="Arial" w:cs="Arial" w:hAnsi="Arial"/>
          <w:sz w:val="22"/>
        </w:rPr>
        <w:t>在</w:t>
      </w:r>
      <w:r>
        <w:rPr>
          <w:rFonts w:eastAsia="等线" w:ascii="Arial" w:cs="Arial" w:hAnsi="Arial"/>
          <w:b w:val="true"/>
          <w:sz w:val="22"/>
        </w:rPr>
        <w:t>2025 年 12 月 31 日前</w:t>
      </w:r>
      <w:r>
        <w:rPr>
          <w:rFonts w:eastAsia="等线" w:ascii="Arial" w:cs="Arial" w:hAnsi="Arial"/>
          <w:sz w:val="22"/>
        </w:rPr>
        <w:t>完成华锐智呈的股权转让交割及股权工商变更；明确管理层收购路径与对价支付安排，控制股权、财务及税务风险；</w:t>
      </w:r>
    </w:p>
    <w:p>
      <w:pPr>
        <w:spacing w:before="120" w:after="120" w:line="288" w:lineRule="auto"/>
        <w:ind w:left="453"/>
        <w:jc w:val="center"/>
      </w:pPr>
      <w:r>
        <w:drawing>
          <wp:inline distT="0" distR="0" distB="0" distL="0">
            <wp:extent cx="5257800" cy="14573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457325"/>
                    </a:xfrm>
                    <a:prstGeom prst="rect">
                      <a:avLst/>
                    </a:prstGeom>
                  </pic:spPr>
                </pic:pic>
              </a:graphicData>
            </a:graphic>
          </wp:inline>
        </w:drawing>
      </w:r>
    </w:p>
    <w:p>
      <w:pPr>
        <w:numPr>
          <w:numId w:val="11"/>
        </w:numPr>
        <w:spacing w:before="120" w:after="120" w:line="288" w:lineRule="auto"/>
        <w:ind w:left="0"/>
        <w:jc w:val="left"/>
      </w:pPr>
      <w:r>
        <w:rPr>
          <w:rFonts w:eastAsia="等线" w:ascii="Arial" w:cs="Arial" w:hAnsi="Arial"/>
          <w:b w:val="true"/>
          <w:sz w:val="22"/>
        </w:rPr>
        <w:t>其他目标</w:t>
      </w:r>
    </w:p>
    <w:p>
      <w:pPr>
        <w:numPr>
          <w:numId w:val="12"/>
        </w:numPr>
        <w:spacing w:before="120" w:after="120" w:line="288" w:lineRule="auto"/>
        <w:ind w:left="453"/>
        <w:jc w:val="left"/>
      </w:pPr>
      <w:r>
        <w:rPr>
          <w:rFonts w:eastAsia="等线" w:ascii="Arial" w:cs="Arial" w:hAnsi="Arial"/>
          <w:sz w:val="22"/>
        </w:rPr>
        <w:t>通过与上海青科器创科技有限责任公司（以下简称“青澜科技”）签署战略合作协议，锁定未来虚拟电厂及综合能源服务业务协同与利润分配机制，保障集团整体利益和业务协同。</w:t>
      </w:r>
    </w:p>
    <w:p>
      <w:pPr>
        <w:numPr>
          <w:numId w:val="13"/>
        </w:numPr>
        <w:spacing w:before="120" w:after="120" w:line="288" w:lineRule="auto"/>
        <w:ind w:left="453"/>
        <w:jc w:val="left"/>
      </w:pPr>
      <w:r>
        <w:rPr>
          <w:rFonts w:eastAsia="等线" w:ascii="Arial" w:cs="Arial" w:hAnsi="Arial"/>
          <w:sz w:val="22"/>
        </w:rPr>
        <w:t>完成承泽的股权剥离，并根据目标股权比例进行承泽股权的调整</w:t>
      </w:r>
    </w:p>
    <w:p>
      <w:pPr>
        <w:spacing w:before="120" w:after="120" w:line="288" w:lineRule="auto"/>
        <w:ind w:left="453"/>
        <w:jc w:val="center"/>
      </w:pPr>
      <w:r>
        <w:drawing>
          <wp:inline distT="0" distR="0" distB="0" distL="0">
            <wp:extent cx="5257800" cy="12573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1257300"/>
                    </a:xfrm>
                    <a:prstGeom prst="rect">
                      <a:avLst/>
                    </a:prstGeom>
                  </pic:spPr>
                </pic:pic>
              </a:graphicData>
            </a:graphic>
          </wp:inline>
        </w:drawing>
      </w:r>
    </w:p>
    <w:p>
      <w:pPr>
        <w:numPr>
          <w:numId w:val="14"/>
        </w:numPr>
        <w:spacing w:before="120" w:after="120" w:line="288" w:lineRule="auto"/>
        <w:ind w:left="453"/>
        <w:jc w:val="left"/>
      </w:pPr>
      <w:r>
        <w:rPr>
          <w:rFonts w:eastAsia="等线" w:ascii="Arial" w:cs="Arial" w:hAnsi="Arial"/>
          <w:sz w:val="22"/>
        </w:rPr>
        <w:t>新设能源BD的法人主体，并根据目标股权比例进行承泽股权的调整</w:t>
      </w:r>
    </w:p>
    <w:p>
      <w:pPr>
        <w:spacing w:before="120" w:after="120" w:line="288" w:lineRule="auto"/>
        <w:ind w:left="0"/>
        <w:jc w:val="center"/>
      </w:pPr>
      <w:r>
        <w:drawing>
          <wp:inline distT="0" distR="0" distB="0" distL="0">
            <wp:extent cx="5257800" cy="21145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114550"/>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二、交易思路与总体安排</w:t>
      </w:r>
      <w:bookmarkEnd w:id="6"/>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1. </w:t>
      </w:r>
      <w:r>
        <w:rPr>
          <w:rFonts w:eastAsia="等线" w:ascii="Arial" w:cs="Arial" w:hAnsi="Arial"/>
          <w:b w:val="true"/>
          <w:sz w:val="30"/>
        </w:rPr>
        <w:t>交易结构</w:t>
      </w:r>
      <w:r>
        <w:rPr>
          <w:rFonts w:eastAsia="等线" w:ascii="Arial" w:cs="Arial" w:hAnsi="Arial"/>
          <w:b w:val="true"/>
          <w:sz w:val="30"/>
        </w:rPr>
        <w:t>：</w:t>
      </w:r>
      <w:bookmarkEnd w:id="7"/>
    </w:p>
    <w:p>
      <w:pPr>
        <w:numPr>
          <w:numId w:val="15"/>
        </w:numPr>
        <w:spacing w:before="120" w:after="120" w:line="288" w:lineRule="auto"/>
        <w:ind w:left="453"/>
        <w:jc w:val="left"/>
      </w:pPr>
      <w:r>
        <w:rPr>
          <w:rFonts w:eastAsia="等线" w:ascii="Arial" w:cs="Arial" w:hAnsi="Arial"/>
          <w:sz w:val="22"/>
        </w:rPr>
        <w:t>华锐智呈股权调整</w:t>
      </w:r>
    </w:p>
    <w:p>
      <w:pPr>
        <w:numPr>
          <w:numId w:val="16"/>
        </w:numPr>
        <w:spacing w:before="120" w:after="120" w:line="288" w:lineRule="auto"/>
        <w:ind w:left="907"/>
        <w:jc w:val="left"/>
      </w:pPr>
      <w:r>
        <w:rPr>
          <w:rFonts w:eastAsia="等线" w:ascii="Arial" w:cs="Arial" w:hAnsi="Arial"/>
          <w:sz w:val="22"/>
        </w:rPr>
        <w:t>安正智创收购城乡共创持有的10%华锐智呈股权，累计持有华锐智呈股权比例为100%；</w:t>
      </w:r>
    </w:p>
    <w:p>
      <w:pPr>
        <w:numPr>
          <w:numId w:val="17"/>
        </w:numPr>
        <w:spacing w:before="120" w:after="120" w:line="288" w:lineRule="auto"/>
        <w:ind w:left="907"/>
        <w:jc w:val="left"/>
      </w:pPr>
      <w:r>
        <w:rPr>
          <w:rFonts w:eastAsia="等线" w:ascii="Arial" w:cs="Arial" w:hAnsi="Arial"/>
          <w:sz w:val="22"/>
        </w:rPr>
        <w:t>新设SPV直接收购安正智创持有的华锐智呈100%股权</w:t>
      </w:r>
    </w:p>
    <w:p>
      <w:pPr>
        <w:numPr>
          <w:numId w:val="18"/>
        </w:numPr>
        <w:spacing w:before="120" w:after="120" w:line="288" w:lineRule="auto"/>
        <w:ind w:left="453"/>
        <w:jc w:val="left"/>
      </w:pPr>
      <w:r>
        <w:rPr>
          <w:rFonts w:eastAsia="等线" w:ascii="Arial" w:cs="Arial" w:hAnsi="Arial"/>
          <w:sz w:val="22"/>
        </w:rPr>
        <w:t>承泽工程股权调整</w:t>
      </w:r>
    </w:p>
    <w:p>
      <w:pPr>
        <w:numPr>
          <w:numId w:val="19"/>
        </w:numPr>
        <w:spacing w:before="120" w:after="120" w:line="288" w:lineRule="auto"/>
        <w:ind w:left="907"/>
        <w:jc w:val="left"/>
      </w:pPr>
      <w:r>
        <w:rPr>
          <w:rFonts w:eastAsia="等线" w:ascii="Arial" w:cs="Arial" w:hAnsi="Arial"/>
          <w:sz w:val="22"/>
        </w:rPr>
        <w:t>以0元原对价进行平价退出，原体系外公司【智呈光鸿】成为新股东</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 </w:t>
      </w:r>
      <w:r>
        <w:rPr>
          <w:rFonts w:eastAsia="等线" w:ascii="Arial" w:cs="Arial" w:hAnsi="Arial"/>
          <w:b w:val="true"/>
          <w:sz w:val="30"/>
        </w:rPr>
        <w:t>股权转让对价机制</w:t>
      </w:r>
      <w:r>
        <w:rPr>
          <w:rFonts w:eastAsia="等线" w:ascii="Arial" w:cs="Arial" w:hAnsi="Arial"/>
          <w:b w:val="true"/>
          <w:sz w:val="30"/>
        </w:rPr>
        <w:t>：</w:t>
      </w:r>
      <w:bookmarkEnd w:id="8"/>
    </w:p>
    <w:p>
      <w:pPr>
        <w:numPr>
          <w:numId w:val="20"/>
        </w:numPr>
        <w:spacing w:before="120" w:after="120" w:line="288" w:lineRule="auto"/>
        <w:ind w:left="453"/>
        <w:jc w:val="left"/>
      </w:pPr>
      <w:r>
        <w:rPr>
          <w:rFonts w:eastAsia="等线" w:ascii="Arial" w:cs="Arial" w:hAnsi="Arial"/>
          <w:sz w:val="22"/>
        </w:rPr>
        <w:t>华锐智呈</w:t>
      </w:r>
    </w:p>
    <w:p>
      <w:pPr>
        <w:numPr>
          <w:numId w:val="21"/>
        </w:numPr>
        <w:spacing w:before="120" w:after="120" w:line="288" w:lineRule="auto"/>
        <w:ind w:left="907"/>
        <w:jc w:val="left"/>
      </w:pPr>
      <w:r>
        <w:rPr>
          <w:rFonts w:eastAsia="等线" w:ascii="Arial" w:cs="Arial" w:hAnsi="Arial"/>
          <w:sz w:val="22"/>
        </w:rPr>
        <w:t xml:space="preserve">由外部资产评估机构出具资产评估报告，评估价值约为 </w:t>
      </w:r>
      <w:r>
        <w:rPr>
          <w:rFonts w:eastAsia="等线" w:ascii="Arial" w:cs="Arial" w:hAnsi="Arial"/>
          <w:b w:val="true"/>
          <w:sz w:val="22"/>
        </w:rPr>
        <w:t>302 万元</w:t>
      </w:r>
      <w:r>
        <w:rPr>
          <w:rFonts w:eastAsia="等线" w:ascii="Arial" w:cs="Arial" w:hAnsi="Arial"/>
          <w:sz w:val="22"/>
        </w:rPr>
        <w:t>；</w:t>
      </w:r>
    </w:p>
    <w:p>
      <w:pPr>
        <w:numPr>
          <w:numId w:val="22"/>
        </w:numPr>
        <w:spacing w:before="120" w:after="120" w:line="288" w:lineRule="auto"/>
        <w:ind w:left="907"/>
        <w:jc w:val="left"/>
      </w:pPr>
      <w:r>
        <w:rPr>
          <w:rFonts w:eastAsia="等线" w:ascii="Arial" w:cs="Arial" w:hAnsi="Arial"/>
          <w:sz w:val="22"/>
        </w:rPr>
        <w:t>在评估基础上，采用</w:t>
      </w:r>
      <w:r>
        <w:rPr>
          <w:rFonts w:eastAsia="等线" w:ascii="Arial" w:cs="Arial" w:hAnsi="Arial"/>
          <w:b w:val="true"/>
          <w:sz w:val="22"/>
        </w:rPr>
        <w:t>承债式收购</w:t>
      </w:r>
      <w:r>
        <w:rPr>
          <w:rFonts w:eastAsia="等线" w:ascii="Arial" w:cs="Arial" w:hAnsi="Arial"/>
          <w:sz w:val="22"/>
        </w:rPr>
        <w:t xml:space="preserve">逻辑，按照存量资产未来现金流以 </w:t>
      </w:r>
      <w:r>
        <w:rPr>
          <w:rFonts w:eastAsia="等线" w:ascii="Arial" w:cs="Arial" w:hAnsi="Arial"/>
          <w:b w:val="true"/>
          <w:sz w:val="22"/>
        </w:rPr>
        <w:t>12% 折现率</w:t>
      </w:r>
      <w:r>
        <w:rPr>
          <w:rFonts w:eastAsia="等线" w:ascii="Arial" w:cs="Arial" w:hAnsi="Arial"/>
          <w:sz w:val="22"/>
        </w:rPr>
        <w:t>测算，确定的资产价值为726万</w:t>
      </w:r>
      <w:r>
        <w:rPr>
          <w:rFonts w:eastAsia="等线" w:ascii="Arial" w:cs="Arial" w:hAnsi="Arial"/>
          <w:b w:val="true"/>
          <w:sz w:val="22"/>
        </w:rPr>
        <w:t>，考虑到管理层收购要素，最终收购对价为700万</w:t>
      </w:r>
    </w:p>
    <w:p>
      <w:pPr>
        <w:numPr>
          <w:numId w:val="23"/>
        </w:numPr>
        <w:spacing w:before="120" w:after="120" w:line="288" w:lineRule="auto"/>
        <w:ind w:left="907"/>
        <w:jc w:val="left"/>
      </w:pPr>
      <w:r>
        <w:rPr>
          <w:rFonts w:eastAsia="等线" w:ascii="Arial" w:cs="Arial" w:hAnsi="Arial"/>
          <w:sz w:val="22"/>
        </w:rPr>
        <w:t>对价分两期支付：</w:t>
      </w:r>
      <w:r>
        <w:rPr>
          <w:rFonts w:eastAsia="等线" w:ascii="Arial" w:cs="Arial" w:hAnsi="Arial"/>
          <w:sz w:val="22"/>
        </w:rPr>
        <w:t>工商变更后三个月内</w:t>
      </w:r>
      <w:r>
        <w:rPr>
          <w:rFonts w:eastAsia="等线" w:ascii="Arial" w:cs="Arial" w:hAnsi="Arial"/>
          <w:sz w:val="22"/>
        </w:rPr>
        <w:t>支付300万元，交割后次年年底前支付剩余400万元。</w:t>
      </w:r>
    </w:p>
    <w:p>
      <w:pPr>
        <w:numPr>
          <w:numId w:val="24"/>
        </w:numPr>
        <w:spacing w:before="120" w:after="120" w:line="288" w:lineRule="auto"/>
        <w:ind w:left="453"/>
        <w:jc w:val="left"/>
      </w:pPr>
      <w:r>
        <w:rPr>
          <w:rFonts w:eastAsia="等线" w:ascii="Arial" w:cs="Arial" w:hAnsi="Arial"/>
          <w:sz w:val="22"/>
        </w:rPr>
        <w:t>承泽工程</w:t>
      </w:r>
    </w:p>
    <w:p>
      <w:pPr>
        <w:numPr>
          <w:numId w:val="25"/>
        </w:numPr>
        <w:spacing w:before="120" w:after="120" w:line="288" w:lineRule="auto"/>
        <w:ind w:left="907"/>
        <w:jc w:val="left"/>
      </w:pPr>
      <w:r>
        <w:rPr>
          <w:rFonts w:eastAsia="等线" w:ascii="Arial" w:cs="Arial" w:hAnsi="Arial"/>
          <w:sz w:val="22"/>
        </w:rPr>
        <w:t>因设定为平价转让，故根据原对价0元设置为股转剥离的对价</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3. </w:t>
      </w:r>
      <w:r>
        <w:rPr>
          <w:rFonts w:eastAsia="等线" w:ascii="Arial" w:cs="Arial" w:hAnsi="Arial"/>
          <w:b w:val="true"/>
          <w:sz w:val="30"/>
        </w:rPr>
        <w:t>实施路径</w:t>
      </w:r>
      <w:r>
        <w:rPr>
          <w:rFonts w:eastAsia="等线" w:ascii="Arial" w:cs="Arial" w:hAnsi="Arial"/>
          <w:b w:val="true"/>
          <w:sz w:val="30"/>
        </w:rPr>
        <w:t>：</w:t>
      </w:r>
      <w:bookmarkEnd w:id="9"/>
    </w:p>
    <w:p>
      <w:pPr>
        <w:numPr>
          <w:numId w:val="26"/>
        </w:numPr>
        <w:spacing w:before="120" w:after="120" w:line="288" w:lineRule="auto"/>
        <w:ind w:left="453"/>
        <w:jc w:val="left"/>
      </w:pPr>
      <w:r>
        <w:rPr>
          <w:rFonts w:eastAsia="等线" w:ascii="Arial" w:cs="Arial" w:hAnsi="Arial"/>
          <w:b w:val="true"/>
          <w:sz w:val="22"/>
        </w:rPr>
        <w:t>第一步</w:t>
      </w:r>
      <w:r>
        <w:rPr>
          <w:rFonts w:eastAsia="等线" w:ascii="Arial" w:cs="Arial" w:hAnsi="Arial"/>
          <w:sz w:val="22"/>
        </w:rPr>
        <w:t>：内部进行股东会决议，确认以管理层收购的方式进行股权调整，明确管理层收购原则和基本条件；</w:t>
      </w:r>
    </w:p>
    <w:p>
      <w:pPr>
        <w:numPr>
          <w:numId w:val="27"/>
        </w:numPr>
        <w:spacing w:before="120" w:after="120" w:line="288" w:lineRule="auto"/>
        <w:ind w:left="453"/>
        <w:jc w:val="left"/>
      </w:pPr>
      <w:r>
        <w:rPr>
          <w:rFonts w:eastAsia="等线" w:ascii="Arial" w:cs="Arial" w:hAnsi="Arial"/>
          <w:b w:val="true"/>
          <w:sz w:val="22"/>
        </w:rPr>
        <w:t>第二步</w:t>
      </w:r>
      <w:r>
        <w:rPr>
          <w:rFonts w:eastAsia="等线" w:ascii="Arial" w:cs="Arial" w:hAnsi="Arial"/>
          <w:sz w:val="22"/>
        </w:rPr>
        <w:t>：明确资产评估对象、对应的评估价值以及收购对价的计算逻辑；</w:t>
      </w:r>
    </w:p>
    <w:p>
      <w:pPr>
        <w:numPr>
          <w:numId w:val="28"/>
        </w:numPr>
        <w:spacing w:before="120" w:after="120" w:line="288" w:lineRule="auto"/>
        <w:ind w:left="453"/>
        <w:jc w:val="left"/>
      </w:pPr>
      <w:r>
        <w:rPr>
          <w:rFonts w:eastAsia="等线" w:ascii="Arial" w:cs="Arial" w:hAnsi="Arial"/>
          <w:b w:val="true"/>
          <w:sz w:val="22"/>
        </w:rPr>
        <w:t>第三步</w:t>
      </w:r>
      <w:r>
        <w:rPr>
          <w:rFonts w:eastAsia="等线" w:ascii="Arial" w:cs="Arial" w:hAnsi="Arial"/>
          <w:sz w:val="22"/>
        </w:rPr>
        <w:t>：华锐智呈与青澜科技签署《战略合作协议》与《借款协议》，锁定业务方向、利益分配机制以及借款年限、利率等信息；</w:t>
      </w:r>
    </w:p>
    <w:p>
      <w:pPr>
        <w:numPr>
          <w:numId w:val="29"/>
        </w:numPr>
        <w:spacing w:before="120" w:after="120" w:line="288" w:lineRule="auto"/>
        <w:ind w:left="453"/>
        <w:jc w:val="left"/>
      </w:pPr>
      <w:r>
        <w:rPr>
          <w:rFonts w:eastAsia="等线" w:ascii="Arial" w:cs="Arial" w:hAnsi="Arial"/>
          <w:b w:val="true"/>
          <w:sz w:val="22"/>
        </w:rPr>
        <w:t>第四步</w:t>
      </w:r>
      <w:r>
        <w:rPr>
          <w:rFonts w:eastAsia="等线" w:ascii="Arial" w:cs="Arial" w:hAnsi="Arial"/>
          <w:sz w:val="22"/>
        </w:rPr>
        <w:t>：新设 SPV，分步实施对华锐智呈的管理层收购，明确交易结构以及付款安排；</w:t>
      </w:r>
    </w:p>
    <w:p>
      <w:pPr>
        <w:numPr>
          <w:numId w:val="30"/>
        </w:numPr>
        <w:spacing w:before="120" w:after="120" w:line="288" w:lineRule="auto"/>
        <w:ind w:left="453"/>
        <w:jc w:val="left"/>
      </w:pPr>
      <w:r>
        <w:rPr>
          <w:rFonts w:eastAsia="等线" w:ascii="Arial" w:cs="Arial" w:hAnsi="Arial"/>
          <w:b w:val="true"/>
          <w:sz w:val="22"/>
        </w:rPr>
        <w:t>第五步：</w:t>
      </w:r>
      <w:r>
        <w:rPr>
          <w:rFonts w:eastAsia="等线" w:ascii="Arial" w:cs="Arial" w:hAnsi="Arial"/>
          <w:sz w:val="22"/>
        </w:rPr>
        <w:t>对承泽和能源BD进行股权剥离和主体新设，并调整其股权比例；</w:t>
      </w:r>
    </w:p>
    <w:p>
      <w:pPr>
        <w:numPr>
          <w:numId w:val="31"/>
        </w:numPr>
        <w:spacing w:before="120" w:after="120" w:line="288" w:lineRule="auto"/>
        <w:ind w:left="453"/>
        <w:jc w:val="left"/>
      </w:pPr>
      <w:r>
        <w:rPr>
          <w:rFonts w:eastAsia="等线" w:ascii="Arial" w:cs="Arial" w:hAnsi="Arial"/>
          <w:b w:val="true"/>
          <w:sz w:val="22"/>
        </w:rPr>
        <w:t>第六步</w:t>
      </w:r>
      <w:r>
        <w:rPr>
          <w:rFonts w:eastAsia="等线" w:ascii="Arial" w:cs="Arial" w:hAnsi="Arial"/>
          <w:sz w:val="22"/>
        </w:rPr>
        <w:t>：完成工商变更及法人、董事、高管调整，完成经营权交接</w:t>
      </w:r>
      <w:r>
        <w:rPr>
          <w:rFonts w:eastAsia="等线" w:ascii="Arial" w:cs="Arial" w:hAnsi="Arial"/>
          <w:sz w:val="22"/>
        </w:rPr>
        <w:t>。</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0" w:id="10"/>
      <w:r>
        <w:rPr>
          <w:rFonts w:eastAsia="等线" w:ascii="Arial" w:cs="Arial" w:hAnsi="Arial"/>
          <w:b w:val="true"/>
          <w:sz w:val="32"/>
        </w:rPr>
        <w:t>三、实施步骤与具体安排</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（一）第一步：内部决议与收购框架（意向）协议</w:t>
      </w:r>
      <w:bookmarkEnd w:id="11"/>
    </w:p>
    <w:p>
      <w:pPr>
        <w:pStyle w:val="4"/>
        <w:spacing w:before="260" w:after="120" w:line="288" w:lineRule="auto"/>
        <w:ind w:left="0"/>
        <w:jc w:val="left"/>
        <w:outlineLvl w:val="3"/>
      </w:pPr>
      <w:bookmarkStart w:name="heading_12" w:id="12"/>
      <w:r>
        <w:rPr>
          <w:rFonts w:eastAsia="等线" w:ascii="Arial" w:cs="Arial" w:hAnsi="Arial"/>
          <w:b w:val="true"/>
          <w:sz w:val="28"/>
        </w:rPr>
        <w:t>2025 年 5 月下旬：股东会第一次决议——对外寻找收购方</w:t>
      </w:r>
      <w:bookmarkEnd w:id="12"/>
    </w:p>
    <w:p>
      <w:pPr>
        <w:numPr>
          <w:numId w:val="32"/>
        </w:numPr>
        <w:spacing w:before="120" w:after="120" w:line="288" w:lineRule="auto"/>
        <w:ind w:left="0"/>
        <w:jc w:val="left"/>
      </w:pPr>
      <w:r>
        <w:rPr>
          <w:rFonts w:eastAsia="等线" w:ascii="Arial" w:cs="Arial" w:hAnsi="Arial"/>
          <w:sz w:val="22"/>
        </w:rPr>
        <w:t>召开华锐智呈股东会，</w:t>
      </w:r>
      <w:r>
        <w:rPr>
          <w:rFonts w:eastAsia="等线" w:ascii="Arial" w:cs="Arial" w:hAnsi="Arial"/>
          <w:b w:val="true"/>
          <w:sz w:val="22"/>
        </w:rPr>
        <w:t>形成书面决议《华锐智呈关于寻求外部收购方进行股权结构调整的股东会决议》</w:t>
      </w:r>
      <w:r>
        <w:rPr>
          <w:rFonts w:eastAsia="等线" w:ascii="Arial" w:cs="Arial" w:hAnsi="Arial"/>
          <w:sz w:val="22"/>
        </w:rPr>
        <w:t>，内容包括：</w:t>
      </w:r>
    </w:p>
    <w:p>
      <w:pPr>
        <w:numPr>
          <w:numId w:val="33"/>
        </w:numPr>
        <w:spacing w:before="120" w:after="120" w:line="288" w:lineRule="auto"/>
        <w:ind w:left="453"/>
        <w:jc w:val="left"/>
      </w:pPr>
      <w:r>
        <w:rPr>
          <w:rFonts w:eastAsia="等线" w:ascii="Arial" w:cs="Arial" w:hAnsi="Arial"/>
          <w:sz w:val="22"/>
        </w:rPr>
        <w:t>同意对华锐智呈股权结构进行调整；</w:t>
      </w:r>
    </w:p>
    <w:p>
      <w:pPr>
        <w:numPr>
          <w:numId w:val="34"/>
        </w:numPr>
        <w:spacing w:before="120" w:after="120" w:line="288" w:lineRule="auto"/>
        <w:ind w:left="453"/>
        <w:jc w:val="left"/>
      </w:pPr>
      <w:r>
        <w:rPr>
          <w:rFonts w:eastAsia="等线" w:ascii="Arial" w:cs="Arial" w:hAnsi="Arial"/>
          <w:sz w:val="22"/>
        </w:rPr>
        <w:t>原则同意通过股权转让方式引入</w:t>
      </w:r>
      <w:r>
        <w:rPr>
          <w:rFonts w:eastAsia="等线" w:ascii="Arial" w:cs="Arial" w:hAnsi="Arial"/>
          <w:b w:val="true"/>
          <w:sz w:val="22"/>
        </w:rPr>
        <w:t>外部收购方</w:t>
      </w:r>
      <w:r>
        <w:rPr>
          <w:rFonts w:eastAsia="等线" w:ascii="Arial" w:cs="Arial" w:hAnsi="Arial"/>
          <w:sz w:val="22"/>
        </w:rPr>
        <w:t>，授权管理层与潜在投资人接触，探索对外股权出售方案；</w:t>
      </w:r>
    </w:p>
    <w:p>
      <w:pPr>
        <w:numPr>
          <w:numId w:val="35"/>
        </w:numPr>
        <w:spacing w:before="120" w:after="120" w:line="288" w:lineRule="auto"/>
        <w:ind w:left="453"/>
        <w:jc w:val="left"/>
      </w:pPr>
      <w:r>
        <w:rPr>
          <w:rFonts w:eastAsia="等线" w:ascii="Arial" w:cs="Arial" w:hAnsi="Arial"/>
          <w:sz w:val="22"/>
        </w:rPr>
        <w:t>授权管理层启动初步尽调准备工作。</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补充书面材料：</w:t>
            </w:r>
            <w:r>
              <w:rPr>
                <w:rFonts w:eastAsia="等线" w:ascii="Arial" w:cs="Arial" w:hAnsi="Arial"/>
                <w:b w:val="true"/>
                <w:sz w:val="22"/>
              </w:rPr>
              <w:t>《华锐智呈关于寻求外部收购方进行股权结构调整的股东会决议》</w:t>
            </w:r>
          </w:p>
          <w:p>
            <w:pPr>
              <w:spacing w:before="120" w:after="120" w:line="288" w:lineRule="auto"/>
              <w:ind w:left="0"/>
              <w:jc w:val="left"/>
            </w:pPr>
            <w:r>
              <w:rPr>
                <w:rFonts w:eastAsia="等线" w:ascii="Arial" w:cs="Arial" w:hAnsi="Arial"/>
                <w:sz w:val="22"/>
              </w:rPr>
              <w:t>建议书面材料出具日期：5月下旬</w:t>
            </w:r>
          </w:p>
          <w:p>
            <w:pPr>
              <w:spacing w:before="120" w:after="120" w:line="288" w:lineRule="auto"/>
              <w:ind w:left="0"/>
              <w:jc w:val="left"/>
            </w:pPr>
            <w:r>
              <w:rPr>
                <w:rFonts w:eastAsia="等线" w:ascii="Arial" w:cs="Arial" w:hAnsi="Arial"/>
                <w:sz w:val="22"/>
              </w:rPr>
              <w:t>负责部门：行政</w:t>
            </w:r>
            <w:r>
              <w:rPr>
                <w:rFonts w:eastAsia="等线" w:ascii="Arial" w:cs="Arial" w:hAnsi="Arial"/>
                <w:sz w:val="22"/>
              </w:rPr>
              <w:t xml:space="preserve">  </w:t>
            </w:r>
            <w:r>
              <w:rPr>
                <w:rFonts w:eastAsia="等线" w:ascii="Arial" w:cs="Arial" w:hAnsi="Arial"/>
                <w:b w:val="true"/>
                <w:color w:val="d83931"/>
                <w:sz w:val="22"/>
              </w:rPr>
              <w:t xml:space="preserve">  </w:t>
            </w:r>
          </w:p>
        </w:tc>
      </w:tr>
    </w:tbl>
    <w:p>
      <w:pPr>
        <w:pStyle w:val="4"/>
        <w:spacing w:before="260" w:after="120" w:line="288" w:lineRule="auto"/>
        <w:ind w:left="0"/>
        <w:jc w:val="left"/>
        <w:outlineLvl w:val="3"/>
      </w:pPr>
      <w:bookmarkStart w:name="heading_13" w:id="13"/>
      <w:r>
        <w:rPr>
          <w:rFonts w:eastAsia="等线" w:ascii="Arial" w:cs="Arial" w:hAnsi="Arial"/>
          <w:b w:val="true"/>
          <w:sz w:val="28"/>
        </w:rPr>
        <w:t>2025 年 6 月下旬：股东会第二次决议——改为管理层收购</w:t>
      </w:r>
      <w:bookmarkEnd w:id="13"/>
    </w:p>
    <w:p>
      <w:pPr>
        <w:numPr>
          <w:numId w:val="36"/>
        </w:numPr>
        <w:spacing w:before="120" w:after="120" w:line="288" w:lineRule="auto"/>
        <w:ind w:left="0"/>
        <w:jc w:val="left"/>
      </w:pPr>
      <w:r>
        <w:rPr>
          <w:rFonts w:eastAsia="等线" w:ascii="Arial" w:cs="Arial" w:hAnsi="Arial"/>
          <w:sz w:val="22"/>
        </w:rPr>
        <w:t>因无法找到合适的外部收购方，或外部收购方案不符合集团整体安排，经再度沟通后，</w:t>
      </w:r>
      <w:r>
        <w:rPr>
          <w:rFonts w:eastAsia="等线" w:ascii="Arial" w:cs="Arial" w:hAnsi="Arial"/>
          <w:b w:val="true"/>
          <w:sz w:val="22"/>
        </w:rPr>
        <w:t>形成书面决议《华锐智呈关于通过管理层收购进行股权结构调整的股东会决议》</w:t>
      </w:r>
      <w:r>
        <w:rPr>
          <w:rFonts w:eastAsia="等线" w:ascii="Arial" w:cs="Arial" w:hAnsi="Arial"/>
          <w:sz w:val="22"/>
        </w:rPr>
        <w:t>：</w:t>
      </w:r>
    </w:p>
    <w:p>
      <w:pPr>
        <w:numPr>
          <w:numId w:val="37"/>
        </w:numPr>
        <w:spacing w:before="120" w:after="120" w:line="288" w:lineRule="auto"/>
        <w:ind w:left="453"/>
        <w:jc w:val="left"/>
      </w:pPr>
      <w:r>
        <w:rPr>
          <w:rFonts w:eastAsia="等线" w:ascii="Arial" w:cs="Arial" w:hAnsi="Arial"/>
          <w:sz w:val="22"/>
        </w:rPr>
        <w:t>同意由公司内部管理层作为受让方，实施</w:t>
      </w:r>
      <w:r>
        <w:rPr>
          <w:rFonts w:eastAsia="等线" w:ascii="Arial" w:cs="Arial" w:hAnsi="Arial"/>
          <w:b w:val="true"/>
          <w:sz w:val="22"/>
        </w:rPr>
        <w:t>管理层收购（MBO）</w:t>
      </w:r>
      <w:r>
        <w:rPr>
          <w:rFonts w:eastAsia="等线" w:ascii="Arial" w:cs="Arial" w:hAnsi="Arial"/>
          <w:sz w:val="22"/>
        </w:rPr>
        <w:t>；</w:t>
      </w:r>
    </w:p>
    <w:p>
      <w:pPr>
        <w:numPr>
          <w:numId w:val="38"/>
        </w:numPr>
        <w:spacing w:before="120" w:after="120" w:line="288" w:lineRule="auto"/>
        <w:ind w:left="453"/>
        <w:jc w:val="left"/>
      </w:pPr>
      <w:r>
        <w:rPr>
          <w:rFonts w:eastAsia="等线" w:ascii="Arial" w:cs="Arial" w:hAnsi="Arial"/>
          <w:sz w:val="22"/>
        </w:rPr>
        <w:t>授权管理层与股东方就收购条款进行谈判，并拟定《股权收购框架（意向）协议》。</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补充书面材料：</w:t>
            </w:r>
            <w:r>
              <w:rPr>
                <w:rFonts w:eastAsia="等线" w:ascii="Arial" w:cs="Arial" w:hAnsi="Arial"/>
                <w:b w:val="true"/>
                <w:sz w:val="22"/>
              </w:rPr>
              <w:t>《华锐智呈关于通过管理层收购进行股权结构调整的股东会决议》</w:t>
            </w:r>
          </w:p>
          <w:p>
            <w:pPr>
              <w:spacing w:before="120" w:after="120" w:line="288" w:lineRule="auto"/>
              <w:ind w:left="0"/>
              <w:jc w:val="left"/>
            </w:pPr>
            <w:r>
              <w:rPr>
                <w:rFonts w:eastAsia="等线" w:ascii="Arial" w:cs="Arial" w:hAnsi="Arial"/>
                <w:sz w:val="22"/>
              </w:rPr>
              <w:t>建议书面材料出具日期：6月下旬</w:t>
            </w:r>
          </w:p>
          <w:p>
            <w:pPr>
              <w:spacing w:before="120" w:after="120" w:line="288" w:lineRule="auto"/>
              <w:ind w:left="0"/>
              <w:jc w:val="left"/>
            </w:pPr>
            <w:r>
              <w:rPr>
                <w:rFonts w:eastAsia="等线" w:ascii="Arial" w:cs="Arial" w:hAnsi="Arial"/>
                <w:sz w:val="22"/>
              </w:rPr>
              <w:t>负责部门：行政</w:t>
            </w:r>
            <w:r>
              <w:rPr>
                <w:rFonts w:eastAsia="等线" w:ascii="Arial" w:cs="Arial" w:hAnsi="Arial"/>
                <w:sz w:val="22"/>
              </w:rPr>
              <w:t xml:space="preserve">   </w:t>
            </w:r>
          </w:p>
        </w:tc>
      </w:tr>
    </w:tbl>
    <w:p>
      <w:pPr>
        <w:pStyle w:val="4"/>
        <w:spacing w:before="260" w:after="120" w:line="288" w:lineRule="auto"/>
        <w:ind w:left="0"/>
        <w:jc w:val="left"/>
        <w:outlineLvl w:val="3"/>
      </w:pPr>
      <w:bookmarkStart w:name="heading_14" w:id="14"/>
      <w:r>
        <w:rPr>
          <w:rFonts w:eastAsia="等线" w:ascii="Arial" w:cs="Arial" w:hAnsi="Arial"/>
          <w:b w:val="true"/>
          <w:sz w:val="28"/>
        </w:rPr>
        <w:t>2025 年 7 月上旬：签署《股权收购框架（意向）协议》</w:t>
      </w:r>
      <w:bookmarkEnd w:id="14"/>
    </w:p>
    <w:p>
      <w:pPr>
        <w:numPr>
          <w:numId w:val="39"/>
        </w:numPr>
        <w:spacing w:before="120" w:after="120" w:line="288" w:lineRule="auto"/>
        <w:ind w:left="0"/>
        <w:jc w:val="left"/>
      </w:pPr>
      <w:r>
        <w:rPr>
          <w:rFonts w:eastAsia="等线" w:ascii="Arial" w:cs="Arial" w:hAnsi="Arial"/>
          <w:sz w:val="22"/>
        </w:rPr>
        <w:t>在上述决议基础上，原股东、安正智创与管理层（及其指定主体）签署意向性协议，主要内容包括：</w:t>
      </w:r>
    </w:p>
    <w:p>
      <w:pPr>
        <w:numPr>
          <w:numId w:val="40"/>
        </w:numPr>
        <w:spacing w:before="120" w:after="120" w:line="288" w:lineRule="auto"/>
        <w:ind w:left="453"/>
        <w:jc w:val="left"/>
      </w:pPr>
      <w:r>
        <w:rPr>
          <w:rFonts w:eastAsia="等线" w:ascii="Arial" w:cs="Arial" w:hAnsi="Arial"/>
          <w:sz w:val="22"/>
        </w:rPr>
        <w:t>签订日期7月</w:t>
      </w:r>
    </w:p>
    <w:p>
      <w:pPr>
        <w:numPr>
          <w:numId w:val="41"/>
        </w:numPr>
        <w:spacing w:before="120" w:after="120" w:line="288" w:lineRule="auto"/>
        <w:ind w:left="453"/>
        <w:jc w:val="left"/>
      </w:pPr>
      <w:r>
        <w:rPr>
          <w:rFonts w:eastAsia="等线" w:ascii="Arial" w:cs="Arial" w:hAnsi="Arial"/>
          <w:sz w:val="22"/>
        </w:rPr>
        <w:t>拟转让的股权范围为华锐智呈 100% 股权；</w:t>
      </w:r>
    </w:p>
    <w:p>
      <w:pPr>
        <w:numPr>
          <w:numId w:val="42"/>
        </w:numPr>
        <w:spacing w:before="120" w:after="120" w:line="288" w:lineRule="auto"/>
        <w:ind w:left="453"/>
        <w:jc w:val="left"/>
      </w:pPr>
      <w:r>
        <w:rPr>
          <w:rFonts w:eastAsia="等线" w:ascii="Arial" w:cs="Arial" w:hAnsi="Arial"/>
          <w:sz w:val="22"/>
        </w:rPr>
        <w:t>明确收购方为</w:t>
      </w:r>
      <w:r>
        <w:rPr>
          <w:rFonts w:eastAsia="等线" w:ascii="Arial" w:cs="Arial" w:hAnsi="Arial"/>
          <w:b w:val="true"/>
          <w:sz w:val="22"/>
        </w:rPr>
        <w:t>罗欢、姚佳伶、周亚越、邹端主导的管理层收购</w:t>
      </w:r>
      <w:r>
        <w:rPr>
          <w:rFonts w:eastAsia="等线" w:ascii="Arial" w:cs="Arial" w:hAnsi="Arial"/>
          <w:sz w:val="22"/>
        </w:rPr>
        <w:t>；</w:t>
      </w:r>
    </w:p>
    <w:p>
      <w:pPr>
        <w:numPr>
          <w:numId w:val="43"/>
        </w:numPr>
        <w:spacing w:before="120" w:after="120" w:line="288" w:lineRule="auto"/>
        <w:ind w:left="453"/>
        <w:jc w:val="left"/>
      </w:pPr>
      <w:r>
        <w:rPr>
          <w:rFonts w:eastAsia="等线" w:ascii="Arial" w:cs="Arial" w:hAnsi="Arial"/>
          <w:sz w:val="22"/>
        </w:rPr>
        <w:t>明确过渡期（资产评估基准日630至股权变更日）安排由新股东完全承担</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书面材料：</w:t>
            </w:r>
            <w:r>
              <w:rPr>
                <w:rFonts w:eastAsia="等线" w:ascii="Arial" w:cs="Arial" w:hAnsi="Arial"/>
                <w:sz w:val="22"/>
              </w:rPr>
              <w:t>华锐智呈_股权收购初始意向协议1201.docx</w:t>
            </w:r>
          </w:p>
          <w:p>
            <w:pPr>
              <w:spacing w:before="120" w:after="120" w:line="288" w:lineRule="auto"/>
              <w:ind w:left="0"/>
              <w:jc w:val="left"/>
            </w:pPr>
            <w:r>
              <w:rPr>
                <w:rFonts w:eastAsia="等线" w:ascii="Arial" w:cs="Arial" w:hAnsi="Arial"/>
                <w:sz w:val="22"/>
              </w:rPr>
              <w:t>签署日期：7月上旬</w:t>
            </w:r>
          </w:p>
          <w:p>
            <w:pPr>
              <w:spacing w:before="120" w:after="120" w:line="288" w:lineRule="auto"/>
              <w:ind w:left="0"/>
              <w:jc w:val="left"/>
            </w:pPr>
            <w:r>
              <w:rPr>
                <w:rFonts w:eastAsia="等线" w:ascii="Arial" w:cs="Arial" w:hAnsi="Arial"/>
                <w:sz w:val="22"/>
              </w:rPr>
              <w:t xml:space="preserve">负责部门：财务   </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5" w:id="15"/>
      <w:r>
        <w:rPr>
          <w:rFonts w:eastAsia="等线" w:ascii="Arial" w:cs="Arial" w:hAnsi="Arial"/>
          <w:b w:val="true"/>
          <w:sz w:val="30"/>
        </w:rPr>
        <w:t>（二）第二步：资产评估与收购定价</w:t>
      </w:r>
      <w:bookmarkEnd w:id="15"/>
    </w:p>
    <w:p>
      <w:pPr>
        <w:spacing w:before="120" w:after="120" w:line="288" w:lineRule="auto"/>
        <w:ind w:left="0"/>
        <w:jc w:val="left"/>
      </w:pPr>
      <w:r>
        <w:rPr>
          <w:rFonts w:eastAsia="等线" w:ascii="Arial" w:cs="Arial" w:hAnsi="Arial"/>
          <w:color w:val="d83931"/>
          <w:sz w:val="22"/>
        </w:rPr>
        <w:t>完成时间节点：25年7月——11月</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1. </w:t>
      </w:r>
      <w:r>
        <w:rPr>
          <w:rFonts w:eastAsia="等线" w:ascii="Arial" w:cs="Arial" w:hAnsi="Arial"/>
          <w:b w:val="true"/>
          <w:sz w:val="28"/>
        </w:rPr>
        <w:t>华锐智呈</w:t>
      </w:r>
      <w:bookmarkEnd w:id="16"/>
    </w:p>
    <w:p>
      <w:pPr>
        <w:numPr>
          <w:numId w:val="44"/>
        </w:numPr>
        <w:spacing w:before="120" w:after="120" w:line="288" w:lineRule="auto"/>
        <w:ind w:left="0"/>
        <w:jc w:val="left"/>
      </w:pPr>
      <w:r>
        <w:rPr>
          <w:rFonts w:eastAsia="等线" w:ascii="Arial" w:cs="Arial" w:hAnsi="Arial"/>
          <w:b w:val="true"/>
          <w:sz w:val="22"/>
        </w:rPr>
        <w:t>资产评估</w:t>
      </w:r>
    </w:p>
    <w:p>
      <w:pPr>
        <w:numPr>
          <w:numId w:val="45"/>
        </w:numPr>
        <w:spacing w:before="120" w:after="120" w:line="288" w:lineRule="auto"/>
        <w:ind w:left="453"/>
        <w:jc w:val="left"/>
      </w:pPr>
      <w:r>
        <w:rPr>
          <w:rFonts w:eastAsia="等线" w:ascii="Arial" w:cs="Arial" w:hAnsi="Arial"/>
          <w:sz w:val="22"/>
        </w:rPr>
        <w:t>评估对象：四川华锐智呈新能源科技发展有限公司</w:t>
      </w:r>
    </w:p>
    <w:p>
      <w:pPr>
        <w:numPr>
          <w:numId w:val="46"/>
        </w:numPr>
        <w:spacing w:before="120" w:after="120" w:line="288" w:lineRule="auto"/>
        <w:ind w:left="453"/>
        <w:jc w:val="left"/>
      </w:pPr>
      <w:r>
        <w:rPr>
          <w:rFonts w:eastAsia="等线" w:ascii="Arial" w:cs="Arial" w:hAnsi="Arial"/>
          <w:sz w:val="22"/>
        </w:rPr>
        <w:t>评估基准日：与框架协议约定的“基准日”保持一致为</w:t>
      </w:r>
      <w:r>
        <w:rPr>
          <w:rFonts w:eastAsia="等线" w:ascii="Arial" w:cs="Arial" w:hAnsi="Arial"/>
          <w:b w:val="true"/>
          <w:sz w:val="22"/>
        </w:rPr>
        <w:t>6月30日</w:t>
      </w:r>
      <w:r>
        <w:rPr>
          <w:rFonts w:eastAsia="等线" w:ascii="Arial" w:cs="Arial" w:hAnsi="Arial"/>
          <w:sz w:val="22"/>
        </w:rPr>
        <w:t>；</w:t>
      </w:r>
    </w:p>
    <w:p>
      <w:pPr>
        <w:numPr>
          <w:numId w:val="47"/>
        </w:numPr>
        <w:spacing w:before="120" w:after="120" w:line="288" w:lineRule="auto"/>
        <w:ind w:left="453"/>
        <w:jc w:val="left"/>
      </w:pPr>
      <w:r>
        <w:rPr>
          <w:rFonts w:eastAsia="等线" w:ascii="Arial" w:cs="Arial" w:hAnsi="Arial"/>
          <w:sz w:val="22"/>
        </w:rPr>
        <w:t xml:space="preserve">采用资产基础法/收益法等方法，评估华锐智呈净资产价值，预计评估价值约为 </w:t>
      </w:r>
      <w:r>
        <w:rPr>
          <w:rFonts w:eastAsia="等线" w:ascii="Arial" w:cs="Arial" w:hAnsi="Arial"/>
          <w:b w:val="true"/>
          <w:sz w:val="22"/>
        </w:rPr>
        <w:t>302 万元</w:t>
      </w:r>
      <w:r>
        <w:rPr>
          <w:rFonts w:eastAsia="等线" w:ascii="Arial" w:cs="Arial" w:hAnsi="Arial"/>
          <w:sz w:val="22"/>
        </w:rPr>
        <w:t>，作为对价的重要参考依据。</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华锐智呈大股东安正智创，因净资产为负值，其股权不宜作为收购对象，故仅对华锐智呈进行了资产评估</w:t>
            </w:r>
          </w:p>
        </w:tc>
      </w:tr>
    </w:tbl>
    <w:p>
      <w:pPr>
        <w:numPr>
          <w:numId w:val="48"/>
        </w:numPr>
        <w:spacing w:before="120" w:after="120" w:line="288" w:lineRule="auto"/>
        <w:ind w:left="0"/>
        <w:jc w:val="left"/>
      </w:pPr>
      <w:r>
        <w:rPr>
          <w:rFonts w:eastAsia="等线" w:ascii="Arial" w:cs="Arial" w:hAnsi="Arial"/>
          <w:b w:val="true"/>
          <w:sz w:val="22"/>
        </w:rPr>
        <w:t>承债式收购定价逻辑</w:t>
      </w:r>
    </w:p>
    <w:p>
      <w:pPr>
        <w:numPr>
          <w:numId w:val="49"/>
        </w:numPr>
        <w:spacing w:before="120" w:after="120" w:line="288" w:lineRule="auto"/>
        <w:ind w:left="453"/>
        <w:jc w:val="left"/>
      </w:pPr>
      <w:r>
        <w:rPr>
          <w:rFonts w:eastAsia="等线" w:ascii="Arial" w:cs="Arial" w:hAnsi="Arial"/>
          <w:sz w:val="22"/>
        </w:rPr>
        <w:t xml:space="preserve">在评估基础上，根据华锐智呈存量项目未来可预见的经营现金流，采用 </w:t>
      </w:r>
      <w:r>
        <w:rPr>
          <w:rFonts w:eastAsia="等线" w:ascii="Arial" w:cs="Arial" w:hAnsi="Arial"/>
          <w:b w:val="true"/>
          <w:sz w:val="22"/>
        </w:rPr>
        <w:t>12% 折现率</w:t>
      </w:r>
      <w:r>
        <w:rPr>
          <w:rFonts w:eastAsia="等线" w:ascii="Arial" w:cs="Arial" w:hAnsi="Arial"/>
          <w:sz w:val="22"/>
        </w:rPr>
        <w:t xml:space="preserve">进行折现测算，总收购对价确定为约 </w:t>
      </w:r>
      <w:r>
        <w:rPr>
          <w:rFonts w:eastAsia="等线" w:ascii="Arial" w:cs="Arial" w:hAnsi="Arial"/>
          <w:b w:val="true"/>
          <w:sz w:val="22"/>
        </w:rPr>
        <w:t>726 万元</w:t>
      </w:r>
      <w:r>
        <w:rPr>
          <w:rFonts w:eastAsia="等线" w:ascii="Arial" w:cs="Arial" w:hAnsi="Arial"/>
          <w:sz w:val="22"/>
        </w:rPr>
        <w:t>；</w:t>
      </w:r>
    </w:p>
    <w:p>
      <w:pPr>
        <w:numPr>
          <w:numId w:val="50"/>
        </w:numPr>
        <w:spacing w:before="120" w:after="120" w:line="288" w:lineRule="auto"/>
        <w:ind w:left="453"/>
        <w:jc w:val="left"/>
      </w:pPr>
      <w:r>
        <w:rPr>
          <w:rFonts w:eastAsia="等线" w:ascii="Arial" w:cs="Arial" w:hAnsi="Arial"/>
          <w:sz w:val="22"/>
        </w:rPr>
        <w:t>考虑到收购方为华锐智呈管理层，整体考虑收购对价为为第一年300万（根据评估价值调减2万）+第二年400万（资产折现价值溢价）两批次进行支付。</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资产折现定价逻辑参考</w:t>
            </w:r>
            <w:hyperlink r:id="rId11">
              <w:r>
                <w:rPr>
                  <w:rFonts w:eastAsia="等线" w:ascii="Arial" w:cs="Arial" w:hAnsi="Arial"/>
                  <w:color w:val="3370ff"/>
                  <w:sz w:val="22"/>
                </w:rPr>
                <w:t>资产评估存量资产折现率分析</w:t>
              </w:r>
            </w:hyperlink>
            <w:r>
              <w:rPr>
                <w:rFonts w:eastAsia="等线" w:ascii="Arial" w:cs="Arial" w:hAnsi="Arial"/>
                <w:sz w:val="22"/>
              </w:rPr>
              <w:t>，用于向股东及管理层解释对价合理性。</w:t>
            </w:r>
          </w:p>
        </w:tc>
      </w:tr>
    </w:tbl>
    <w:p>
      <w:pPr>
        <w:pStyle w:val="4"/>
        <w:spacing w:before="260" w:after="120" w:line="288" w:lineRule="auto"/>
        <w:ind w:left="0"/>
        <w:jc w:val="left"/>
        <w:outlineLvl w:val="3"/>
      </w:pPr>
      <w:bookmarkStart w:name="heading_17" w:id="17"/>
      <w:r>
        <w:rPr>
          <w:rFonts w:eastAsia="等线" w:ascii="Arial" w:cs="Arial" w:hAnsi="Arial"/>
          <w:color w:val="3370ff"/>
          <w:sz w:val="28"/>
        </w:rPr>
        <w:t xml:space="preserve">2. </w:t>
      </w:r>
      <w:r>
        <w:rPr>
          <w:rFonts w:eastAsia="等线" w:ascii="Arial" w:cs="Arial" w:hAnsi="Arial"/>
          <w:b w:val="true"/>
          <w:sz w:val="28"/>
        </w:rPr>
        <w:t>承泽工程</w:t>
      </w:r>
      <w:bookmarkEnd w:id="17"/>
    </w:p>
    <w:p>
      <w:pPr>
        <w:spacing w:before="120" w:after="120" w:line="288" w:lineRule="auto"/>
        <w:ind w:left="0"/>
        <w:jc w:val="left"/>
      </w:pPr>
      <w:r>
        <w:rPr>
          <w:rFonts w:eastAsia="等线" w:ascii="Arial" w:cs="Arial" w:hAnsi="Arial"/>
          <w:sz w:val="22"/>
        </w:rPr>
        <w:t>因平价股转且净资产为负，故考虑对外剥离以0对价股转，后续股东结构调整也以0对价考虑</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（三）第三步：华锐智呈—青澜科技战略合作协议&amp;借款协议</w:t>
      </w:r>
      <w:bookmarkEnd w:id="18"/>
    </w:p>
    <w:p>
      <w:pPr>
        <w:spacing w:before="120" w:after="120" w:line="288" w:lineRule="auto"/>
        <w:ind w:left="0"/>
        <w:jc w:val="left"/>
      </w:pPr>
      <w:r>
        <w:rPr>
          <w:rFonts w:eastAsia="等线" w:ascii="Arial" w:cs="Arial" w:hAnsi="Arial"/>
          <w:color w:val="d83931"/>
          <w:sz w:val="22"/>
        </w:rPr>
        <w:t>完成时间节点：7月-12月（意向协议后，正式股转前）</w:t>
      </w:r>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1. </w:t>
      </w:r>
      <w:r>
        <w:rPr>
          <w:rFonts w:eastAsia="等线" w:ascii="Arial" w:cs="Arial" w:hAnsi="Arial"/>
          <w:b w:val="true"/>
          <w:sz w:val="28"/>
        </w:rPr>
        <w:t>战略合作协议</w:t>
      </w:r>
      <w:bookmarkEnd w:id="19"/>
    </w:p>
    <w:p>
      <w:pPr>
        <w:spacing w:before="120" w:after="120" w:line="288" w:lineRule="auto"/>
        <w:ind w:left="0"/>
        <w:jc w:val="left"/>
      </w:pPr>
      <w:r>
        <w:rPr>
          <w:rFonts w:eastAsia="等线" w:ascii="Arial" w:cs="Arial" w:hAnsi="Arial"/>
          <w:sz w:val="22"/>
        </w:rPr>
        <w:t>为锁定华锐智呈与青澜科技之间的协同关系与利益分配机制，同时提高华锐智呈对青澜借款的商业合理性，于7月上旬与青澜科技签署战略合作协议</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书面材料：</w:t>
            </w:r>
            <w:r>
              <w:rPr>
                <w:rFonts w:eastAsia="等线" w:ascii="Arial" w:cs="Arial" w:hAnsi="Arial"/>
                <w:sz w:val="22"/>
              </w:rPr>
              <w:t>【青澜-华锐战略合作】企业战略合作协议.docx</w:t>
            </w:r>
            <w:r>
              <w:rPr>
                <w:rFonts w:eastAsia="等线" w:ascii="Arial" w:cs="Arial" w:hAnsi="Arial"/>
                <w:sz w:val="22"/>
              </w:rPr>
              <w:br/>
            </w:r>
            <w:r>
              <w:rPr>
                <w:rFonts w:eastAsia="等线" w:ascii="Arial" w:cs="Arial" w:hAnsi="Arial"/>
                <w:sz w:val="22"/>
              </w:rPr>
              <w:t>签署日期：2025年7月2日</w:t>
            </w:r>
          </w:p>
          <w:p>
            <w:pPr>
              <w:spacing w:before="120" w:after="120" w:line="288" w:lineRule="auto"/>
              <w:ind w:left="0"/>
              <w:jc w:val="left"/>
            </w:pPr>
            <w:r>
              <w:rPr>
                <w:rFonts w:eastAsia="等线" w:ascii="Arial" w:cs="Arial" w:hAnsi="Arial"/>
                <w:sz w:val="22"/>
              </w:rPr>
              <w:t>负责部门：财务、投资</w:t>
            </w:r>
          </w:p>
        </w:tc>
      </w:tr>
    </w:tbl>
    <w:p>
      <w:pPr>
        <w:pStyle w:val="4"/>
        <w:spacing w:before="260" w:after="120" w:line="288" w:lineRule="auto"/>
        <w:ind w:left="0"/>
        <w:jc w:val="left"/>
        <w:outlineLvl w:val="3"/>
      </w:pPr>
      <w:bookmarkStart w:name="heading_20" w:id="20"/>
      <w:r>
        <w:rPr>
          <w:rFonts w:eastAsia="等线" w:ascii="Arial" w:cs="Arial" w:hAnsi="Arial"/>
          <w:color w:val="3370ff"/>
          <w:sz w:val="28"/>
        </w:rPr>
        <w:t xml:space="preserve">2. </w:t>
      </w:r>
      <w:r>
        <w:rPr>
          <w:rFonts w:eastAsia="等线" w:ascii="Arial" w:cs="Arial" w:hAnsi="Arial"/>
          <w:b w:val="true"/>
          <w:sz w:val="28"/>
        </w:rPr>
        <w:t>借款协议</w:t>
      </w:r>
      <w:bookmarkEnd w:id="20"/>
    </w:p>
    <w:p>
      <w:pPr>
        <w:spacing w:before="120" w:after="120" w:line="288" w:lineRule="auto"/>
        <w:ind w:left="0"/>
        <w:jc w:val="left"/>
      </w:pPr>
      <w:r>
        <w:rPr>
          <w:rFonts w:eastAsia="等线" w:ascii="Arial" w:cs="Arial" w:hAnsi="Arial"/>
          <w:sz w:val="22"/>
        </w:rPr>
        <w:t>为加强华锐智呈与青澜科技之间的财务合作关系，于每笔借款流水的实际发生日期前3个工作日签署借款合同，执行利率按照一年期 LPR确定。</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w:t>
            </w:r>
            <w:r>
              <w:rPr>
                <w:rFonts w:eastAsia="等线" w:ascii="Arial" w:cs="Arial" w:hAnsi="Arial"/>
                <w:sz w:val="22"/>
              </w:rPr>
              <w:t>书面材料：</w:t>
            </w:r>
            <w:r>
              <w:rPr>
                <w:rFonts w:eastAsia="等线" w:ascii="Arial" w:cs="Arial" w:hAnsi="Arial"/>
                <w:sz w:val="22"/>
              </w:rPr>
              <w:t>华锐-青澜_单笔借款合同.docx</w:t>
            </w:r>
            <w:r>
              <w:rPr>
                <w:rFonts w:eastAsia="等线" w:ascii="Arial" w:cs="Arial" w:hAnsi="Arial"/>
                <w:sz w:val="22"/>
              </w:rPr>
              <w:br/>
            </w:r>
            <w:r>
              <w:rPr>
                <w:rFonts w:eastAsia="等线" w:ascii="Arial" w:cs="Arial" w:hAnsi="Arial"/>
                <w:sz w:val="22"/>
              </w:rPr>
              <w:t>签署日期：</w:t>
            </w:r>
            <w:r>
              <w:rPr>
                <w:rFonts w:eastAsia="等线" w:ascii="Arial" w:cs="Arial" w:hAnsi="Arial"/>
                <w:sz w:val="22"/>
              </w:rPr>
              <w:t>根据每笔借款流水的实际发生日期前3个工作日</w:t>
            </w:r>
          </w:p>
          <w:p>
            <w:pPr>
              <w:spacing w:before="120" w:after="120" w:line="288" w:lineRule="auto"/>
              <w:ind w:left="0"/>
              <w:jc w:val="left"/>
            </w:pPr>
            <w:r>
              <w:rPr>
                <w:rFonts w:eastAsia="等线" w:ascii="Arial" w:cs="Arial" w:hAnsi="Arial"/>
                <w:sz w:val="22"/>
              </w:rPr>
              <w:t>负责部门：财务、投资</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1" w:id="21"/>
      <w:r>
        <w:rPr>
          <w:rFonts w:eastAsia="等线" w:ascii="Arial" w:cs="Arial" w:hAnsi="Arial"/>
          <w:b w:val="true"/>
          <w:sz w:val="30"/>
        </w:rPr>
        <w:t>（四）第四步：搭建 SPV 并签署正式股权收购协议</w:t>
      </w:r>
      <w:bookmarkEnd w:id="21"/>
    </w:p>
    <w:p>
      <w:pPr>
        <w:spacing w:before="120" w:after="120" w:line="288" w:lineRule="auto"/>
        <w:ind w:left="0"/>
        <w:jc w:val="left"/>
      </w:pPr>
      <w:r>
        <w:rPr>
          <w:rFonts w:eastAsia="等线" w:ascii="Arial" w:cs="Arial" w:hAnsi="Arial"/>
          <w:color w:val="d83931"/>
          <w:sz w:val="22"/>
        </w:rPr>
        <w:t>完成时间节点：2025年12月底前</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numPr>
                <w:numId w:val="51"/>
              </w:numPr>
              <w:spacing w:before="120" w:after="120" w:line="288" w:lineRule="auto"/>
              <w:ind w:left="0"/>
              <w:jc w:val="left"/>
            </w:pPr>
            <w:r>
              <w:rPr>
                <w:rFonts w:eastAsia="等线" w:ascii="Arial" w:cs="Arial" w:hAnsi="Arial"/>
                <w:b w:val="true"/>
                <w:sz w:val="22"/>
              </w:rPr>
              <w:t>新设SPV用于收购华锐智呈100%股权（12月10日前）</w:t>
            </w:r>
          </w:p>
          <w:p>
            <w:pPr>
              <w:spacing w:before="120" w:after="120" w:line="288" w:lineRule="auto"/>
              <w:ind w:left="0"/>
              <w:jc w:val="left"/>
            </w:pPr>
            <w:r>
              <w:rPr>
                <w:rFonts w:eastAsia="等线" w:ascii="Arial" w:cs="Arial" w:hAnsi="Arial"/>
                <w:sz w:val="22"/>
              </w:rPr>
              <w:t>设立</w:t>
            </w:r>
            <w:r>
              <w:rPr>
                <w:rFonts w:eastAsia="等线" w:ascii="Arial" w:cs="Arial" w:hAnsi="Arial"/>
                <w:b w:val="true"/>
                <w:sz w:val="22"/>
              </w:rPr>
              <w:t>有限责任公司</w:t>
            </w:r>
            <w:r>
              <w:rPr>
                <w:rFonts w:eastAsia="等线" w:ascii="Arial" w:cs="Arial" w:hAnsi="Arial"/>
                <w:sz w:val="22"/>
              </w:rPr>
              <w:t>作为统一持股平台：</w:t>
            </w:r>
          </w:p>
          <w:p>
            <w:pPr>
              <w:numPr>
                <w:numId w:val="52"/>
              </w:numPr>
              <w:spacing w:before="120" w:after="120" w:line="288" w:lineRule="auto"/>
              <w:ind w:left="453"/>
              <w:jc w:val="left"/>
            </w:pPr>
            <w:r>
              <w:rPr>
                <w:rFonts w:eastAsia="等线" w:ascii="Arial" w:cs="Arial" w:hAnsi="Arial"/>
                <w:sz w:val="22"/>
              </w:rPr>
              <w:t>SPV 为华锐智呈 100% 股权的名义持有主体；</w:t>
            </w:r>
          </w:p>
          <w:p>
            <w:pPr>
              <w:numPr>
                <w:numId w:val="53"/>
              </w:numPr>
              <w:spacing w:before="120" w:after="120" w:line="288" w:lineRule="auto"/>
              <w:ind w:left="453"/>
              <w:jc w:val="left"/>
            </w:pPr>
            <w:r>
              <w:rPr>
                <w:rFonts w:eastAsia="等线" w:ascii="Arial" w:cs="Arial" w:hAnsi="Arial"/>
                <w:b w:val="true"/>
                <w:sz w:val="22"/>
              </w:rPr>
              <w:t>注册资本：300万</w:t>
            </w:r>
          </w:p>
          <w:p>
            <w:pPr>
              <w:numPr>
                <w:numId w:val="54"/>
              </w:numPr>
              <w:spacing w:before="120" w:after="120" w:line="288" w:lineRule="auto"/>
              <w:ind w:left="453"/>
              <w:jc w:val="left"/>
            </w:pPr>
            <w:r>
              <w:rPr>
                <w:rFonts w:eastAsia="等线" w:ascii="Arial" w:cs="Arial" w:hAnsi="Arial"/>
                <w:b w:val="true"/>
                <w:sz w:val="22"/>
              </w:rPr>
              <w:t>实缴及股转款安排：各股东根据股权比例进行实缴出资</w:t>
            </w:r>
          </w:p>
          <w:p>
            <w:pPr>
              <w:numPr>
                <w:numId w:val="55"/>
              </w:numPr>
              <w:spacing w:before="120" w:after="120" w:line="288" w:lineRule="auto"/>
              <w:ind w:left="453"/>
              <w:jc w:val="left"/>
            </w:pPr>
            <w:r>
              <w:rPr>
                <w:rFonts w:eastAsia="等线" w:ascii="Arial" w:cs="Arial" w:hAnsi="Arial"/>
                <w:b w:val="true"/>
                <w:sz w:val="22"/>
              </w:rPr>
              <w:t>股权设置：</w:t>
            </w:r>
          </w:p>
          <w:p>
            <w:pPr>
              <w:numPr>
                <w:numId w:val="56"/>
              </w:numPr>
              <w:spacing w:before="120" w:after="120" w:line="288" w:lineRule="auto"/>
              <w:ind w:left="907"/>
              <w:jc w:val="left"/>
            </w:pPr>
            <w:r>
              <w:rPr>
                <w:rFonts w:eastAsia="等线" w:ascii="Arial" w:cs="Arial" w:hAnsi="Arial"/>
                <w:sz w:val="22"/>
              </w:rPr>
              <w:t>罗欢：2</w:t>
            </w:r>
            <w:r>
              <w:rPr>
                <w:rFonts w:eastAsia="等线" w:ascii="Arial" w:cs="Arial" w:hAnsi="Arial"/>
                <w:sz w:val="22"/>
              </w:rPr>
              <w:t>5</w:t>
            </w:r>
            <w:r>
              <w:rPr>
                <w:rFonts w:eastAsia="等线" w:ascii="Arial" w:cs="Arial" w:hAnsi="Arial"/>
                <w:sz w:val="22"/>
              </w:rPr>
              <w:t>%；</w:t>
            </w:r>
          </w:p>
          <w:p>
            <w:pPr>
              <w:numPr>
                <w:numId w:val="57"/>
              </w:numPr>
              <w:spacing w:before="120" w:after="120" w:line="288" w:lineRule="auto"/>
              <w:ind w:left="907"/>
              <w:jc w:val="left"/>
            </w:pPr>
            <w:r>
              <w:rPr>
                <w:rFonts w:eastAsia="等线" w:ascii="Arial" w:cs="Arial" w:hAnsi="Arial"/>
                <w:sz w:val="22"/>
              </w:rPr>
              <w:t>姚佳伶：2</w:t>
            </w:r>
            <w:r>
              <w:rPr>
                <w:rFonts w:eastAsia="等线" w:ascii="Arial" w:cs="Arial" w:hAnsi="Arial"/>
                <w:sz w:val="22"/>
              </w:rPr>
              <w:t>0</w:t>
            </w:r>
            <w:r>
              <w:rPr>
                <w:rFonts w:eastAsia="等线" w:ascii="Arial" w:cs="Arial" w:hAnsi="Arial"/>
                <w:sz w:val="22"/>
              </w:rPr>
              <w:t>%</w:t>
            </w:r>
          </w:p>
          <w:p>
            <w:pPr>
              <w:numPr>
                <w:numId w:val="58"/>
              </w:numPr>
              <w:spacing w:before="120" w:after="120" w:line="288" w:lineRule="auto"/>
              <w:ind w:left="907"/>
              <w:jc w:val="left"/>
            </w:pPr>
            <w:r>
              <w:rPr>
                <w:rFonts w:eastAsia="等线" w:ascii="Arial" w:cs="Arial" w:hAnsi="Arial"/>
                <w:sz w:val="22"/>
              </w:rPr>
              <w:t>周亚越：27%</w:t>
            </w:r>
          </w:p>
          <w:p>
            <w:pPr>
              <w:numPr>
                <w:numId w:val="59"/>
              </w:numPr>
              <w:spacing w:before="120" w:after="120" w:line="288" w:lineRule="auto"/>
              <w:ind w:left="907"/>
              <w:jc w:val="left"/>
            </w:pPr>
            <w:r>
              <w:rPr>
                <w:rFonts w:eastAsia="等线" w:ascii="Arial" w:cs="Arial" w:hAnsi="Arial"/>
                <w:sz w:val="22"/>
              </w:rPr>
              <w:t>邹端：28%</w:t>
            </w:r>
          </w:p>
          <w:p>
            <w:pPr>
              <w:spacing w:before="120" w:after="120" w:line="288" w:lineRule="auto"/>
              <w:ind w:left="0"/>
              <w:jc w:val="left"/>
            </w:pPr>
          </w:p>
        </w:tc>
        <w:tc>
          <w:tcPr>
            <w:tcW w:w="4140" w:type="dxa"/>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b w:val="true"/>
                <w:sz w:val="22"/>
              </w:rPr>
              <w:t>安正智创收购城乡融合持有的华锐智呈10%股权（12月10日前）</w:t>
            </w:r>
          </w:p>
          <w:p>
            <w:pPr>
              <w:numPr>
                <w:numId w:val="61"/>
              </w:numPr>
              <w:spacing w:before="120" w:after="120" w:line="288" w:lineRule="auto"/>
              <w:ind w:left="0"/>
              <w:jc w:val="left"/>
            </w:pPr>
            <w:r>
              <w:rPr>
                <w:rFonts w:eastAsia="等线" w:ascii="Arial" w:cs="Arial" w:hAnsi="Arial"/>
                <w:b w:val="true"/>
                <w:sz w:val="22"/>
              </w:rPr>
              <w:t>收购对价：</w:t>
            </w:r>
            <w:r>
              <w:rPr>
                <w:rFonts w:eastAsia="等线" w:ascii="Arial" w:cs="Arial" w:hAnsi="Arial"/>
                <w:sz w:val="22"/>
              </w:rPr>
              <w:t>30</w:t>
            </w:r>
            <w:r>
              <w:rPr>
                <w:rFonts w:eastAsia="等线" w:ascii="Arial" w:cs="Arial" w:hAnsi="Arial"/>
                <w:sz w:val="22"/>
              </w:rPr>
              <w:t>0</w:t>
            </w:r>
            <w:r>
              <w:rPr>
                <w:rFonts w:eastAsia="等线" w:ascii="Arial" w:cs="Arial" w:hAnsi="Arial"/>
                <w:sz w:val="22"/>
              </w:rPr>
              <w:t>万*10%=3</w:t>
            </w:r>
            <w:r>
              <w:rPr>
                <w:rFonts w:eastAsia="等线" w:ascii="Arial" w:cs="Arial" w:hAnsi="Arial"/>
                <w:sz w:val="22"/>
              </w:rPr>
              <w:t>0</w:t>
            </w:r>
            <w:r>
              <w:rPr>
                <w:rFonts w:eastAsia="等线" w:ascii="Arial" w:cs="Arial" w:hAnsi="Arial"/>
                <w:sz w:val="22"/>
              </w:rPr>
              <w:t>万（根据资产评估价值的10%考虑）</w:t>
            </w:r>
          </w:p>
          <w:p>
            <w:pPr>
              <w:numPr>
                <w:numId w:val="62"/>
              </w:numPr>
              <w:spacing w:before="120" w:after="120" w:line="288" w:lineRule="auto"/>
              <w:ind w:left="0"/>
              <w:jc w:val="left"/>
            </w:pPr>
            <w:r>
              <w:rPr>
                <w:rFonts w:eastAsia="等线" w:ascii="Arial" w:cs="Arial" w:hAnsi="Arial"/>
                <w:b w:val="true"/>
                <w:sz w:val="22"/>
              </w:rPr>
              <w:t>收购资金路径：安正智创——城乡共创——安正企管（</w:t>
            </w:r>
            <w:r>
              <w:rPr>
                <w:rFonts w:eastAsia="等线" w:ascii="Arial" w:cs="Arial" w:hAnsi="Arial"/>
                <w:b w:val="true"/>
                <w:sz w:val="22"/>
              </w:rPr>
              <w:t>暂定，</w:t>
            </w:r>
            <w:r>
              <w:rPr>
                <w:rFonts w:eastAsia="等线" w:ascii="Arial" w:cs="Arial" w:hAnsi="Arial"/>
                <w:b w:val="true"/>
                <w:sz w:val="22"/>
              </w:rPr>
              <w:t>考虑资金退出通道）</w:t>
            </w:r>
          </w:p>
          <w:p>
            <w:pPr>
              <w:spacing w:before="120" w:after="120" w:line="288" w:lineRule="auto"/>
              <w:ind w:left="0"/>
              <w:jc w:val="center"/>
            </w:pPr>
            <w:r>
              <w:drawing>
                <wp:inline distT="0" distR="0" distB="0" distL="0">
                  <wp:extent cx="2476500" cy="9144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2476500" cy="914400"/>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3900"/>
            </w:tblGrid>
            <w:tr>
              <w:tc>
                <w:tcPr>
                  <w:tcW w:w="390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书面材料（待补充）：《股权转让协议》</w:t>
                    <w:br/>
                  </w:r>
                  <w:r>
                    <w:rPr>
                      <w:rFonts w:eastAsia="等线" w:ascii="Arial" w:cs="Arial" w:hAnsi="Arial"/>
                      <w:sz w:val="22"/>
                    </w:rPr>
                    <w:t>签署日期：12月上旬</w:t>
                  </w:r>
                </w:p>
              </w:tc>
            </w:tr>
          </w:tbl>
          <w:p>
            <w:pPr>
              <w:spacing w:before="120" w:after="120" w:line="288" w:lineRule="auto"/>
              <w:ind w:left="0"/>
              <w:jc w:val="left"/>
            </w:pPr>
          </w:p>
        </w:tc>
      </w:tr>
    </w:tbl>
    <w:p>
      <w:pPr>
        <w:numPr>
          <w:numId w:val="63"/>
        </w:numPr>
        <w:spacing w:before="120" w:after="120" w:line="288" w:lineRule="auto"/>
        <w:ind w:left="0"/>
        <w:jc w:val="left"/>
      </w:pPr>
      <w:r>
        <w:rPr>
          <w:rFonts w:eastAsia="等线" w:ascii="Arial" w:cs="Arial" w:hAnsi="Arial"/>
          <w:b w:val="true"/>
          <w:sz w:val="22"/>
        </w:rPr>
        <w:t>正式《股权转让协议》的签署（12月15日前）</w:t>
      </w:r>
    </w:p>
    <w:p>
      <w:pPr>
        <w:spacing w:before="120" w:after="120" w:line="288" w:lineRule="auto"/>
        <w:ind w:left="0"/>
        <w:jc w:val="left"/>
      </w:pPr>
      <w:r>
        <w:rPr>
          <w:rFonts w:eastAsia="等线" w:ascii="Arial" w:cs="Arial" w:hAnsi="Arial"/>
          <w:b w:val="true"/>
          <w:sz w:val="22"/>
        </w:rPr>
        <w:t>目标股权结构：</w:t>
      </w:r>
    </w:p>
    <w:p>
      <w:pPr>
        <w:spacing w:before="120" w:after="120" w:line="288" w:lineRule="auto"/>
        <w:ind w:left="0"/>
        <w:jc w:val="center"/>
      </w:pPr>
      <w:r>
        <w:drawing>
          <wp:inline distT="0" distR="0" distB="0" distL="0">
            <wp:extent cx="5257800" cy="11334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1133475"/>
                    </a:xfrm>
                    <a:prstGeom prst="rect">
                      <a:avLst/>
                    </a:prstGeom>
                  </pic:spPr>
                </pic:pic>
              </a:graphicData>
            </a:graphic>
          </wp:inline>
        </w:drawing>
      </w:r>
    </w:p>
    <w:p>
      <w:pPr>
        <w:numPr>
          <w:numId w:val="64"/>
        </w:numPr>
        <w:spacing w:before="120" w:after="120" w:line="288" w:lineRule="auto"/>
        <w:ind w:left="0"/>
        <w:jc w:val="left"/>
      </w:pPr>
      <w:r>
        <w:rPr>
          <w:rFonts w:eastAsia="等线" w:ascii="Arial" w:cs="Arial" w:hAnsi="Arial"/>
          <w:b w:val="true"/>
          <w:sz w:val="22"/>
        </w:rPr>
        <w:t>交易标的与结构</w:t>
      </w:r>
      <w:r>
        <w:rPr>
          <w:rFonts w:eastAsia="等线" w:ascii="Arial" w:cs="Arial" w:hAnsi="Arial"/>
          <w:sz w:val="22"/>
        </w:rPr>
        <w:t>：</w:t>
      </w:r>
    </w:p>
    <w:p>
      <w:pPr>
        <w:numPr>
          <w:numId w:val="65"/>
        </w:numPr>
        <w:spacing w:before="120" w:after="120" w:line="288" w:lineRule="auto"/>
        <w:ind w:left="453"/>
        <w:jc w:val="left"/>
      </w:pPr>
      <w:r>
        <w:rPr>
          <w:rFonts w:eastAsia="等线" w:ascii="Arial" w:cs="Arial" w:hAnsi="Arial"/>
          <w:sz w:val="22"/>
        </w:rPr>
        <w:t>SPV 直接收购安正智创持有的华锐智呈100%股权</w:t>
      </w:r>
    </w:p>
    <w:p>
      <w:pPr>
        <w:numPr>
          <w:numId w:val="66"/>
        </w:numPr>
        <w:spacing w:before="120" w:after="120" w:line="288" w:lineRule="auto"/>
        <w:ind w:left="0"/>
        <w:jc w:val="left"/>
      </w:pPr>
      <w:r>
        <w:rPr>
          <w:rFonts w:eastAsia="等线" w:ascii="Arial" w:cs="Arial" w:hAnsi="Arial"/>
          <w:b w:val="true"/>
          <w:sz w:val="22"/>
        </w:rPr>
        <w:t>交易对价及构成</w:t>
      </w:r>
      <w:r>
        <w:rPr>
          <w:rFonts w:eastAsia="等线" w:ascii="Arial" w:cs="Arial" w:hAnsi="Arial"/>
          <w:sz w:val="22"/>
        </w:rPr>
        <w:t>：</w:t>
      </w:r>
    </w:p>
    <w:p>
      <w:pPr>
        <w:numPr>
          <w:numId w:val="67"/>
        </w:numPr>
        <w:spacing w:before="120" w:after="120" w:line="288" w:lineRule="auto"/>
        <w:ind w:left="453"/>
        <w:jc w:val="left"/>
      </w:pPr>
      <w:r>
        <w:rPr>
          <w:rFonts w:eastAsia="等线" w:ascii="Arial" w:cs="Arial" w:hAnsi="Arial"/>
          <w:sz w:val="22"/>
        </w:rPr>
        <w:t>根据评估净资产 300 万元及溢价 426万元（根据持有资产未来现金流12%折现确定），结合管理层收购要素，</w:t>
      </w:r>
      <w:r>
        <w:rPr>
          <w:rFonts w:eastAsia="等线" w:ascii="Arial" w:cs="Arial" w:hAnsi="Arial"/>
          <w:b w:val="true"/>
          <w:sz w:val="22"/>
        </w:rPr>
        <w:t>最终股权转让对价为300+400=700万元</w:t>
      </w:r>
    </w:p>
    <w:p>
      <w:pPr>
        <w:numPr>
          <w:numId w:val="68"/>
        </w:numPr>
        <w:spacing w:before="120" w:after="120" w:line="288" w:lineRule="auto"/>
        <w:ind w:left="0"/>
        <w:jc w:val="left"/>
      </w:pPr>
      <w:r>
        <w:rPr>
          <w:rFonts w:eastAsia="等线" w:ascii="Arial" w:cs="Arial" w:hAnsi="Arial"/>
          <w:b w:val="true"/>
          <w:sz w:val="22"/>
        </w:rPr>
        <w:t>分期付款安排</w:t>
      </w:r>
      <w:r>
        <w:rPr>
          <w:rFonts w:eastAsia="等线" w:ascii="Arial" w:cs="Arial" w:hAnsi="Arial"/>
          <w:sz w:val="22"/>
        </w:rPr>
        <w:t>：</w:t>
      </w:r>
    </w:p>
    <w:p>
      <w:pPr>
        <w:numPr>
          <w:numId w:val="69"/>
        </w:numPr>
        <w:spacing w:before="120" w:after="120" w:line="288" w:lineRule="auto"/>
        <w:ind w:left="453"/>
        <w:jc w:val="left"/>
      </w:pPr>
      <w:r>
        <w:rPr>
          <w:rFonts w:eastAsia="等线" w:ascii="Arial" w:cs="Arial" w:hAnsi="Arial"/>
          <w:sz w:val="22"/>
        </w:rPr>
        <w:t>第一阶段：新设SPV于次年3月前支付第一笔收购款</w:t>
      </w:r>
      <w:r>
        <w:rPr>
          <w:rFonts w:eastAsia="等线" w:ascii="Arial" w:cs="Arial" w:hAnsi="Arial"/>
          <w:b w:val="true"/>
          <w:sz w:val="22"/>
        </w:rPr>
        <w:t>300万元</w:t>
      </w:r>
    </w:p>
    <w:p>
      <w:pPr>
        <w:numPr>
          <w:numId w:val="70"/>
        </w:numPr>
        <w:spacing w:before="120" w:after="120" w:line="288" w:lineRule="auto"/>
        <w:ind w:left="453"/>
        <w:jc w:val="left"/>
      </w:pPr>
      <w:r>
        <w:rPr>
          <w:rFonts w:eastAsia="等线" w:ascii="Arial" w:cs="Arial" w:hAnsi="Arial"/>
          <w:sz w:val="22"/>
        </w:rPr>
        <w:t>第二阶段：自股权变更完成之日起至次年年底前，支付剩余</w:t>
      </w:r>
      <w:r>
        <w:rPr>
          <w:rFonts w:eastAsia="等线" w:ascii="Arial" w:cs="Arial" w:hAnsi="Arial"/>
          <w:b w:val="true"/>
          <w:sz w:val="22"/>
        </w:rPr>
        <w:t>400万元</w:t>
      </w:r>
      <w:r>
        <w:rPr>
          <w:rFonts w:eastAsia="等线" w:ascii="Arial" w:cs="Arial" w:hAnsi="Arial"/>
          <w:sz w:val="22"/>
        </w:rPr>
        <w:t>；</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书面文件</w:t>
            </w:r>
            <w:r>
              <w:rPr>
                <w:rFonts w:eastAsia="等线" w:ascii="Arial" w:cs="Arial" w:hAnsi="Arial"/>
                <w:sz w:val="22"/>
              </w:rPr>
              <w:t>华锐智呈正式收购协议1201.docx</w:t>
            </w:r>
            <w:r>
              <w:rPr>
                <w:rFonts w:eastAsia="等线" w:ascii="Arial" w:cs="Arial" w:hAnsi="Arial"/>
                <w:sz w:val="22"/>
              </w:rPr>
              <w:br/>
            </w:r>
            <w:r>
              <w:rPr>
                <w:rFonts w:eastAsia="等线" w:ascii="Arial" w:cs="Arial" w:hAnsi="Arial"/>
                <w:sz w:val="22"/>
              </w:rPr>
              <w:t>签署日期：12月中旬</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b w:val="true"/>
          <w:sz w:val="30"/>
        </w:rPr>
        <w:t>（五）第五步：承泽股权变更与BD团队新设主体</w:t>
      </w:r>
      <w:bookmarkEnd w:id="22"/>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1. </w:t>
      </w:r>
      <w:r>
        <w:rPr>
          <w:rFonts w:eastAsia="等线" w:ascii="Arial" w:cs="Arial" w:hAnsi="Arial"/>
          <w:b w:val="true"/>
          <w:sz w:val="28"/>
        </w:rPr>
        <w:t>承泽股权变更（12月25日前）</w:t>
      </w:r>
      <w:bookmarkEnd w:id="23"/>
    </w:p>
    <w:p>
      <w:pPr>
        <w:numPr>
          <w:numId w:val="71"/>
        </w:numPr>
        <w:spacing w:before="120" w:after="120" w:line="288" w:lineRule="auto"/>
        <w:ind w:left="0"/>
        <w:jc w:val="left"/>
      </w:pPr>
      <w:r>
        <w:rPr>
          <w:rFonts w:eastAsia="等线" w:ascii="Arial" w:cs="Arial" w:hAnsi="Arial"/>
          <w:sz w:val="22"/>
        </w:rPr>
        <w:t>根据股权转让协议，将承泽的股权以0对价转回其原股东智呈光鸿：</w:t>
      </w:r>
    </w:p>
    <w:p>
      <w:pPr>
        <w:numPr>
          <w:numId w:val="72"/>
        </w:numPr>
        <w:spacing w:before="120" w:after="120" w:line="288" w:lineRule="auto"/>
        <w:ind w:left="0"/>
        <w:jc w:val="left"/>
      </w:pPr>
      <w:r>
        <w:rPr>
          <w:rFonts w:eastAsia="等线" w:ascii="Arial" w:cs="Arial" w:hAnsi="Arial"/>
          <w:sz w:val="22"/>
        </w:rPr>
        <w:t>调整智呈光鸿股东股权比例，由胡伟，张志东，张婧各持股33.4%，33.3%，33.3%</w:t>
      </w:r>
    </w:p>
    <w:p>
      <w:pPr>
        <w:spacing w:before="120" w:after="120" w:line="288" w:lineRule="auto"/>
        <w:ind w:left="0"/>
        <w:jc w:val="center"/>
      </w:pPr>
      <w:r>
        <w:drawing>
          <wp:inline distT="0" distR="0" distB="0" distL="0">
            <wp:extent cx="5257800" cy="12573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1257300"/>
                    </a:xfrm>
                    <a:prstGeom prst="rect">
                      <a:avLst/>
                    </a:prstGeom>
                  </pic:spPr>
                </pic:pic>
              </a:graphicData>
            </a:graphic>
          </wp:inline>
        </w:drawing>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【后补】</w:t>
            </w:r>
            <w:r>
              <w:rPr>
                <w:rFonts w:eastAsia="等线" w:ascii="Arial" w:cs="Arial" w:hAnsi="Arial"/>
                <w:sz w:val="22"/>
              </w:rPr>
              <w:t>四川承泽工程技术有限公司股权转让协议_正式版 (1).docx</w:t>
            </w:r>
            <w:r>
              <w:rPr>
                <w:rFonts w:eastAsia="等线" w:ascii="Arial" w:cs="Arial" w:hAnsi="Arial"/>
                <w:sz w:val="22"/>
              </w:rPr>
              <w:t>——</w:t>
            </w:r>
            <w:r>
              <w:rPr>
                <w:rFonts w:eastAsia="等线" w:ascii="Arial" w:cs="Arial" w:hAnsi="Arial"/>
                <w:b w:val="true"/>
                <w:sz w:val="22"/>
              </w:rPr>
              <w:t>签订时间2月24日</w:t>
            </w:r>
          </w:p>
          <w:p>
            <w:pPr>
              <w:spacing w:before="120" w:after="120" w:line="288" w:lineRule="auto"/>
              <w:ind w:left="0"/>
              <w:jc w:val="left"/>
            </w:pPr>
            <w:r>
              <w:rPr>
                <w:rFonts w:eastAsia="等线" w:ascii="Arial" w:cs="Arial" w:hAnsi="Arial"/>
                <w:sz w:val="22"/>
              </w:rPr>
              <w:t>四川承泽工程技术有限公司股权转让协议（回转）_优化版 (1).docx</w:t>
            </w:r>
            <w:r>
              <w:rPr>
                <w:rFonts w:eastAsia="等线" w:ascii="Arial" w:cs="Arial" w:hAnsi="Arial"/>
                <w:sz w:val="22"/>
              </w:rPr>
              <w:t>——</w:t>
            </w:r>
            <w:r>
              <w:rPr>
                <w:rFonts w:eastAsia="等线" w:ascii="Arial" w:cs="Arial" w:hAnsi="Arial"/>
                <w:b w:val="true"/>
                <w:sz w:val="22"/>
              </w:rPr>
              <w:t>签订时间12月下旬（暂定）</w:t>
            </w:r>
          </w:p>
          <w:p>
            <w:pPr>
              <w:spacing w:before="120" w:after="120" w:line="288" w:lineRule="auto"/>
              <w:ind w:left="0"/>
              <w:jc w:val="left"/>
            </w:pPr>
            <w:r>
              <w:rPr>
                <w:rFonts w:eastAsia="等线" w:ascii="Arial" w:cs="Arial" w:hAnsi="Arial"/>
                <w:sz w:val="22"/>
              </w:rPr>
              <w:t>《股权转让协议》（智呈光鸿新增自然人股东胡伟并调整持股比例）——</w:t>
            </w:r>
            <w:r>
              <w:rPr>
                <w:rFonts w:eastAsia="等线" w:ascii="Arial" w:cs="Arial" w:hAnsi="Arial"/>
                <w:b w:val="true"/>
                <w:sz w:val="22"/>
              </w:rPr>
              <w:t>签订时间12月下旬（暂定）</w:t>
            </w:r>
          </w:p>
        </w:tc>
      </w:tr>
    </w:tbl>
    <w:p>
      <w:pPr>
        <w:pStyle w:val="4"/>
        <w:spacing w:before="260" w:after="120" w:line="288" w:lineRule="auto"/>
        <w:ind w:left="0"/>
        <w:jc w:val="left"/>
        <w:outlineLvl w:val="3"/>
      </w:pPr>
      <w:bookmarkStart w:name="heading_24" w:id="24"/>
      <w:r>
        <w:rPr>
          <w:rFonts w:eastAsia="等线" w:ascii="Arial" w:cs="Arial" w:hAnsi="Arial"/>
          <w:color w:val="3370ff"/>
          <w:sz w:val="28"/>
        </w:rPr>
        <w:t xml:space="preserve">2. </w:t>
      </w:r>
      <w:r>
        <w:rPr>
          <w:rFonts w:eastAsia="等线" w:ascii="Arial" w:cs="Arial" w:hAnsi="Arial"/>
          <w:b w:val="true"/>
          <w:sz w:val="28"/>
        </w:rPr>
        <w:t>能源BD团队新设公司主体（12月31日前）</w:t>
      </w:r>
      <w:bookmarkEnd w:id="24"/>
    </w:p>
    <w:p>
      <w:pPr>
        <w:numPr>
          <w:numId w:val="73"/>
        </w:numPr>
        <w:spacing w:before="120" w:after="120" w:line="288" w:lineRule="auto"/>
        <w:ind w:left="0"/>
        <w:jc w:val="left"/>
      </w:pPr>
      <w:r>
        <w:rPr>
          <w:rFonts w:eastAsia="等线" w:ascii="Arial" w:cs="Arial" w:hAnsi="Arial"/>
          <w:sz w:val="22"/>
        </w:rPr>
        <w:t>新设体外公司，作为能源BD的独立经营主体</w:t>
      </w:r>
    </w:p>
    <w:p>
      <w:pPr>
        <w:numPr>
          <w:numId w:val="74"/>
        </w:numPr>
        <w:spacing w:before="120" w:after="120" w:line="288" w:lineRule="auto"/>
        <w:ind w:left="453"/>
        <w:jc w:val="left"/>
      </w:pPr>
      <w:r>
        <w:rPr>
          <w:rFonts w:eastAsia="等线" w:ascii="Arial" w:cs="Arial" w:hAnsi="Arial"/>
          <w:sz w:val="22"/>
        </w:rPr>
        <w:t>注册资本：100万（暂定）</w:t>
      </w:r>
    </w:p>
    <w:p>
      <w:pPr>
        <w:numPr>
          <w:numId w:val="75"/>
        </w:numPr>
        <w:spacing w:before="120" w:after="120" w:line="288" w:lineRule="auto"/>
        <w:ind w:left="453"/>
        <w:jc w:val="left"/>
      </w:pPr>
      <w:r>
        <w:rPr>
          <w:rFonts w:eastAsia="等线" w:ascii="Arial" w:cs="Arial" w:hAnsi="Arial"/>
          <w:sz w:val="22"/>
        </w:rPr>
        <w:t>股权比例：吴洁玉：陈香成：待定=33.4%：33.33%：33.33%</w:t>
      </w:r>
    </w:p>
    <w:p>
      <w:pPr>
        <w:spacing w:before="120" w:after="120" w:line="288" w:lineRule="auto"/>
        <w:ind w:left="453"/>
        <w:jc w:val="center"/>
      </w:pPr>
      <w:r>
        <w:drawing>
          <wp:inline distT="0" distR="0" distB="0" distL="0">
            <wp:extent cx="5257800" cy="21145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2114550"/>
                    </a:xfrm>
                    <a:prstGeom prst="rect">
                      <a:avLst/>
                    </a:prstGeom>
                  </pic:spPr>
                </pic:pic>
              </a:graphicData>
            </a:graphic>
          </wp:inline>
        </w:drawing>
      </w:r>
    </w:p>
    <w:p>
      <w:pPr>
        <w:pStyle w:val="3"/>
        <w:spacing w:before="300" w:after="120" w:line="288" w:lineRule="auto"/>
        <w:ind w:left="0"/>
        <w:jc w:val="left"/>
        <w:outlineLvl w:val="2"/>
      </w:pPr>
      <w:bookmarkStart w:name="heading_25" w:id="25"/>
      <w:r>
        <w:rPr>
          <w:rFonts w:eastAsia="等线" w:ascii="Arial" w:cs="Arial" w:hAnsi="Arial"/>
          <w:b w:val="true"/>
          <w:sz w:val="30"/>
        </w:rPr>
        <w:t>（六）第六步：工商变更与经营权交接</w:t>
      </w:r>
      <w:bookmarkEnd w:id="25"/>
    </w:p>
    <w:p>
      <w:pPr>
        <w:numPr>
          <w:numId w:val="76"/>
        </w:numPr>
        <w:spacing w:before="120" w:after="120" w:line="288" w:lineRule="auto"/>
        <w:ind w:left="0"/>
        <w:jc w:val="left"/>
      </w:pPr>
      <w:r>
        <w:rPr>
          <w:rFonts w:eastAsia="等线" w:ascii="Arial" w:cs="Arial" w:hAnsi="Arial"/>
          <w:b w:val="true"/>
          <w:sz w:val="22"/>
        </w:rPr>
        <w:t>工商登记变更（12月底前）</w:t>
      </w:r>
    </w:p>
    <w:p>
      <w:pPr>
        <w:numPr>
          <w:numId w:val="77"/>
        </w:numPr>
        <w:spacing w:before="120" w:after="120" w:line="288" w:lineRule="auto"/>
        <w:ind w:left="0"/>
        <w:jc w:val="left"/>
      </w:pPr>
      <w:r>
        <w:rPr>
          <w:rFonts w:eastAsia="等线" w:ascii="Arial" w:cs="Arial" w:hAnsi="Arial"/>
          <w:b w:val="true"/>
          <w:sz w:val="22"/>
        </w:rPr>
        <w:t>股东及出资变更</w:t>
      </w:r>
      <w:r>
        <w:rPr>
          <w:rFonts w:eastAsia="等线" w:ascii="Arial" w:cs="Arial" w:hAnsi="Arial"/>
          <w:sz w:val="22"/>
        </w:rPr>
        <w:t>：</w:t>
      </w:r>
    </w:p>
    <w:p>
      <w:pPr>
        <w:numPr>
          <w:numId w:val="78"/>
        </w:numPr>
        <w:spacing w:before="120" w:after="120" w:line="288" w:lineRule="auto"/>
        <w:ind w:left="453"/>
        <w:jc w:val="left"/>
      </w:pPr>
      <w:r>
        <w:rPr>
          <w:rFonts w:eastAsia="等线" w:ascii="Arial" w:cs="Arial" w:hAnsi="Arial"/>
          <w:sz w:val="22"/>
        </w:rPr>
        <w:t>将华锐智呈股东变更为新设SPV，调整公司股东名册及章程；</w:t>
      </w:r>
    </w:p>
    <w:p>
      <w:pPr>
        <w:numPr>
          <w:numId w:val="79"/>
        </w:numPr>
        <w:spacing w:before="120" w:after="120" w:line="288" w:lineRule="auto"/>
        <w:ind w:left="0"/>
        <w:jc w:val="left"/>
      </w:pPr>
      <w:r>
        <w:rPr>
          <w:rFonts w:eastAsia="等线" w:ascii="Arial" w:cs="Arial" w:hAnsi="Arial"/>
          <w:b w:val="true"/>
          <w:sz w:val="22"/>
        </w:rPr>
        <w:t>法定代表人变更</w:t>
      </w:r>
      <w:r>
        <w:rPr>
          <w:rFonts w:eastAsia="等线" w:ascii="Arial" w:cs="Arial" w:hAnsi="Arial"/>
          <w:sz w:val="22"/>
        </w:rPr>
        <w:t>：</w:t>
      </w:r>
    </w:p>
    <w:p>
      <w:pPr>
        <w:numPr>
          <w:numId w:val="80"/>
        </w:numPr>
        <w:spacing w:before="120" w:after="120" w:line="288" w:lineRule="auto"/>
        <w:ind w:left="453"/>
        <w:jc w:val="left"/>
      </w:pPr>
      <w:r>
        <w:rPr>
          <w:rFonts w:eastAsia="等线" w:ascii="Arial" w:cs="Arial" w:hAnsi="Arial"/>
          <w:sz w:val="22"/>
        </w:rPr>
        <w:t>原法定代表人变更为拟任职业法代</w:t>
      </w:r>
    </w:p>
    <w:p>
      <w:pPr>
        <w:numPr>
          <w:numId w:val="81"/>
        </w:numPr>
        <w:spacing w:before="120" w:after="120" w:line="288" w:lineRule="auto"/>
        <w:ind w:left="0"/>
        <w:jc w:val="left"/>
      </w:pPr>
      <w:r>
        <w:rPr>
          <w:rFonts w:eastAsia="等线" w:ascii="Arial" w:cs="Arial" w:hAnsi="Arial"/>
          <w:b w:val="true"/>
          <w:sz w:val="22"/>
        </w:rPr>
        <w:t>董事、监事及高管调整</w:t>
      </w:r>
      <w:r>
        <w:rPr>
          <w:rFonts w:eastAsia="等线" w:ascii="Arial" w:cs="Arial" w:hAnsi="Arial"/>
          <w:sz w:val="22"/>
        </w:rPr>
        <w:t>：</w:t>
      </w:r>
    </w:p>
    <w:p>
      <w:pPr>
        <w:numPr>
          <w:numId w:val="82"/>
        </w:numPr>
        <w:spacing w:before="120" w:after="120" w:line="288" w:lineRule="auto"/>
        <w:ind w:left="453"/>
        <w:jc w:val="left"/>
      </w:pPr>
      <w:r>
        <w:rPr>
          <w:rFonts w:eastAsia="等线" w:ascii="Arial" w:cs="Arial" w:hAnsi="Arial"/>
          <w:sz w:val="22"/>
        </w:rPr>
        <w:t>董事由现任（如刘锋、姜晓星、罗梓菡等）调整为：姚佳伶、周亚越、邹端</w:t>
      </w:r>
      <w:r>
        <w:rPr>
          <w:rFonts w:eastAsia="等线" w:ascii="Arial" w:cs="Arial" w:hAnsi="Arial"/>
          <w:sz w:val="22"/>
        </w:rPr>
        <w:t>（注：实控人在法律上并非只看头衔或股权，而是审查 “是否能够实际支配公司行为” 。如果有证据证明执行董事在财务、经营、人事、决策等方面能起到决定性作用（如股权控制、协议安排成为实控人、事实上的重大影响等），那么他才可能被认定为公司的实际控制人）</w:t>
      </w:r>
    </w:p>
    <w:p>
      <w:pPr>
        <w:numPr>
          <w:numId w:val="83"/>
        </w:numPr>
        <w:spacing w:before="120" w:after="120" w:line="288" w:lineRule="auto"/>
        <w:ind w:left="453"/>
        <w:jc w:val="left"/>
      </w:pPr>
      <w:r>
        <w:rPr>
          <w:rFonts w:eastAsia="等线" w:ascii="Arial" w:cs="Arial" w:hAnsi="Arial"/>
          <w:sz w:val="22"/>
        </w:rPr>
        <w:t>新董事会聘任总经理（</w:t>
      </w:r>
      <w:r>
        <w:rPr>
          <w:rFonts w:eastAsia="等线" w:ascii="Arial" w:cs="Arial" w:hAnsi="Arial"/>
          <w:sz w:val="22"/>
        </w:rPr>
        <w:t>暂定邹端</w:t>
      </w:r>
      <w:r>
        <w:rPr>
          <w:rFonts w:eastAsia="等线" w:ascii="Arial" w:cs="Arial" w:hAnsi="Arial"/>
          <w:sz w:val="22"/>
        </w:rPr>
        <w:t>）</w:t>
      </w:r>
    </w:p>
    <w:p>
      <w:pPr>
        <w:numPr>
          <w:numId w:val="84"/>
        </w:numPr>
        <w:spacing w:before="120" w:after="120" w:line="288" w:lineRule="auto"/>
        <w:ind w:left="453"/>
        <w:jc w:val="left"/>
      </w:pPr>
      <w:r>
        <w:rPr>
          <w:rFonts w:eastAsia="等线" w:ascii="Arial" w:cs="Arial" w:hAnsi="Arial"/>
          <w:sz w:val="22"/>
        </w:rPr>
        <w:t>财务负责人：文梓旬</w:t>
      </w:r>
    </w:p>
    <w:p>
      <w:pPr>
        <w:numPr>
          <w:numId w:val="85"/>
        </w:numPr>
        <w:spacing w:before="120" w:after="120" w:line="288" w:lineRule="auto"/>
        <w:ind w:left="0"/>
        <w:jc w:val="left"/>
      </w:pPr>
      <w:r>
        <w:rPr>
          <w:rFonts w:eastAsia="等线" w:ascii="Arial" w:cs="Arial" w:hAnsi="Arial"/>
          <w:sz w:val="22"/>
        </w:rPr>
        <w:t>完成市场监管部门的工商变更登记、税务、社保、公积金、银行账户预留信息等配套变更。</w:t>
      </w:r>
    </w:p>
    <w:p>
      <w:pPr>
        <w:numPr>
          <w:numId w:val="86"/>
        </w:numPr>
        <w:spacing w:before="120" w:after="120" w:line="288" w:lineRule="auto"/>
        <w:ind w:left="0"/>
        <w:jc w:val="left"/>
      </w:pPr>
      <w:r>
        <w:rPr>
          <w:rFonts w:eastAsia="等线" w:ascii="Arial" w:cs="Arial" w:hAnsi="Arial"/>
          <w:b w:val="true"/>
          <w:sz w:val="22"/>
        </w:rPr>
        <w:t>印章、证照和业务交接</w:t>
      </w:r>
    </w:p>
    <w:p>
      <w:pPr>
        <w:numPr>
          <w:numId w:val="87"/>
        </w:numPr>
        <w:spacing w:before="120" w:after="120" w:line="288" w:lineRule="auto"/>
        <w:ind w:left="0"/>
        <w:jc w:val="left"/>
      </w:pPr>
      <w:r>
        <w:rPr>
          <w:rFonts w:eastAsia="等线" w:ascii="Arial" w:cs="Arial" w:hAnsi="Arial"/>
          <w:sz w:val="22"/>
        </w:rPr>
        <w:t>制定《经营管理交接清单》，包括：公司印章、各类证照、合同档案、财务账册、业务系统账号等；</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6" w:id="26"/>
      <w:r>
        <w:rPr>
          <w:rFonts w:eastAsia="等线" w:ascii="Arial" w:cs="Arial" w:hAnsi="Arial"/>
          <w:b w:val="true"/>
          <w:sz w:val="32"/>
        </w:rPr>
        <w:t>四、其他影响股权交易的事项</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（一）存量融资（中信金租及苏州金租）一揽子处理方案</w:t>
      </w:r>
      <w:bookmarkEnd w:id="27"/>
    </w:p>
    <w:p>
      <w:pPr>
        <w:spacing w:before="120" w:after="120" w:line="288" w:lineRule="auto"/>
        <w:ind w:left="0"/>
        <w:jc w:val="left"/>
      </w:pPr>
      <w:r>
        <w:rPr>
          <w:rFonts w:eastAsia="等线" w:ascii="Arial" w:cs="Arial" w:hAnsi="Arial"/>
          <w:sz w:val="22"/>
        </w:rPr>
        <w:t>华锐智呈目前存在两笔存量金融租赁融资：</w:t>
      </w:r>
    </w:p>
    <w:p>
      <w:pPr>
        <w:numPr>
          <w:numId w:val="88"/>
        </w:numPr>
        <w:spacing w:before="120" w:after="120" w:line="288" w:lineRule="auto"/>
        <w:ind w:left="0"/>
        <w:jc w:val="left"/>
      </w:pPr>
      <w:r>
        <w:rPr>
          <w:rFonts w:eastAsia="等线" w:ascii="Arial" w:cs="Arial" w:hAnsi="Arial"/>
          <w:sz w:val="22"/>
        </w:rPr>
        <w:t xml:space="preserve">中信金融租赁有限公司，期末融资余额约 </w:t>
      </w:r>
      <w:r>
        <w:rPr>
          <w:rFonts w:eastAsia="等线" w:ascii="Arial" w:cs="Arial" w:hAnsi="Arial"/>
          <w:b w:val="true"/>
          <w:sz w:val="22"/>
        </w:rPr>
        <w:t>1,850 万元</w:t>
      </w:r>
      <w:r>
        <w:rPr>
          <w:rFonts w:eastAsia="等线" w:ascii="Arial" w:cs="Arial" w:hAnsi="Arial"/>
          <w:sz w:val="22"/>
        </w:rPr>
        <w:t xml:space="preserve">，对应保证金约 </w:t>
      </w:r>
      <w:r>
        <w:rPr>
          <w:rFonts w:eastAsia="等线" w:ascii="Arial" w:cs="Arial" w:hAnsi="Arial"/>
          <w:b w:val="true"/>
          <w:sz w:val="22"/>
        </w:rPr>
        <w:t>70 万元</w:t>
      </w:r>
      <w:r>
        <w:rPr>
          <w:rFonts w:eastAsia="等线" w:ascii="Arial" w:cs="Arial" w:hAnsi="Arial"/>
          <w:sz w:val="22"/>
        </w:rPr>
        <w:t>；</w:t>
      </w:r>
    </w:p>
    <w:p>
      <w:pPr>
        <w:numPr>
          <w:numId w:val="89"/>
        </w:numPr>
        <w:spacing w:before="120" w:after="120" w:line="288" w:lineRule="auto"/>
        <w:ind w:left="0"/>
        <w:jc w:val="left"/>
      </w:pPr>
      <w:r>
        <w:rPr>
          <w:rFonts w:eastAsia="等线" w:ascii="Arial" w:cs="Arial" w:hAnsi="Arial"/>
          <w:sz w:val="22"/>
        </w:rPr>
        <w:t xml:space="preserve">苏州金融租赁有限公司，期末融资余额约 </w:t>
      </w:r>
      <w:r>
        <w:rPr>
          <w:rFonts w:eastAsia="等线" w:ascii="Arial" w:cs="Arial" w:hAnsi="Arial"/>
          <w:b w:val="true"/>
          <w:sz w:val="22"/>
        </w:rPr>
        <w:t>600 万元</w:t>
      </w:r>
      <w:r>
        <w:rPr>
          <w:rFonts w:eastAsia="等线" w:ascii="Arial" w:cs="Arial" w:hAnsi="Arial"/>
          <w:sz w:val="22"/>
        </w:rPr>
        <w:t xml:space="preserve">，对应保证金约 </w:t>
      </w:r>
      <w:r>
        <w:rPr>
          <w:rFonts w:eastAsia="等线" w:ascii="Arial" w:cs="Arial" w:hAnsi="Arial"/>
          <w:b w:val="true"/>
          <w:sz w:val="22"/>
        </w:rPr>
        <w:t>15 万元</w:t>
      </w:r>
      <w:r>
        <w:rPr>
          <w:rFonts w:eastAsia="等线" w:ascii="Arial" w:cs="Arial" w:hAnsi="Arial"/>
          <w:sz w:val="22"/>
        </w:rPr>
        <w: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8" w:id="28"/>
      <w:r>
        <w:rPr>
          <w:rFonts w:eastAsia="等线" w:ascii="Arial" w:cs="Arial" w:hAnsi="Arial"/>
          <w:b w:val="true"/>
          <w:sz w:val="28"/>
        </w:rPr>
        <w:t>路径一：在股权变更前提前结清存量融资并回收保证金</w:t>
      </w:r>
      <w:bookmarkEnd w:id="28"/>
    </w:p>
    <w:p>
      <w:pPr>
        <w:spacing w:before="120" w:after="120" w:line="288" w:lineRule="auto"/>
        <w:ind w:left="0"/>
        <w:jc w:val="left"/>
      </w:pPr>
      <w:r>
        <w:rPr>
          <w:rFonts w:eastAsia="等线" w:ascii="Arial" w:cs="Arial" w:hAnsi="Arial"/>
          <w:sz w:val="22"/>
        </w:rPr>
        <w:t>在公司整体资金条件允许、且提前还款的综合成本可接受的前提下，优先考虑对</w:t>
      </w:r>
      <w:r>
        <w:rPr>
          <w:rFonts w:eastAsia="等线" w:ascii="Arial" w:cs="Arial" w:hAnsi="Arial"/>
          <w:sz w:val="22"/>
        </w:rPr>
        <w:t>苏州</w:t>
      </w:r>
      <w:r>
        <w:rPr>
          <w:rFonts w:eastAsia="等线" w:ascii="Arial" w:cs="Arial" w:hAnsi="Arial"/>
          <w:sz w:val="22"/>
        </w:rPr>
        <w:t>金租融资进行</w:t>
      </w:r>
      <w:r>
        <w:rPr>
          <w:rFonts w:eastAsia="等线" w:ascii="Arial" w:cs="Arial" w:hAnsi="Arial"/>
          <w:b w:val="true"/>
          <w:sz w:val="22"/>
        </w:rPr>
        <w:t>提前结清</w:t>
      </w:r>
      <w:r>
        <w:rPr>
          <w:rFonts w:eastAsia="等线" w:ascii="Arial" w:cs="Arial" w:hAnsi="Arial"/>
          <w:sz w:val="22"/>
        </w:rPr>
        <w:t>，以实现股权标的“轻资产、无附加权利负担”的目标。</w:t>
      </w:r>
    </w:p>
    <w:p>
      <w:pPr>
        <w:numPr>
          <w:numId w:val="90"/>
        </w:numPr>
        <w:spacing w:before="120" w:after="120" w:line="288" w:lineRule="auto"/>
        <w:ind w:left="0"/>
        <w:jc w:val="left"/>
      </w:pPr>
      <w:r>
        <w:rPr>
          <w:rFonts w:eastAsia="等线" w:ascii="Arial" w:cs="Arial" w:hAnsi="Arial"/>
          <w:b w:val="true"/>
          <w:sz w:val="22"/>
        </w:rPr>
        <w:t>操作步骤</w:t>
      </w:r>
    </w:p>
    <w:p>
      <w:pPr>
        <w:numPr>
          <w:numId w:val="91"/>
        </w:numPr>
        <w:spacing w:before="120" w:after="120" w:line="288" w:lineRule="auto"/>
        <w:ind w:left="453"/>
        <w:jc w:val="left"/>
      </w:pPr>
      <w:r>
        <w:rPr>
          <w:rFonts w:eastAsia="等线" w:ascii="Arial" w:cs="Arial" w:hAnsi="Arial"/>
          <w:sz w:val="22"/>
        </w:rPr>
        <w:t>与苏州金租沟通，取得书面形式的提前结清方案，明确剩余本金、未付利息、提前还款违约金（如有）及保证金退还条件；</w:t>
      </w:r>
    </w:p>
    <w:p>
      <w:pPr>
        <w:numPr>
          <w:numId w:val="92"/>
        </w:numPr>
        <w:spacing w:before="120" w:after="120" w:line="288" w:lineRule="auto"/>
        <w:ind w:left="453"/>
        <w:jc w:val="left"/>
      </w:pPr>
      <w:r>
        <w:rPr>
          <w:rFonts w:eastAsia="等线" w:ascii="Arial" w:cs="Arial" w:hAnsi="Arial"/>
          <w:sz w:val="22"/>
        </w:rPr>
        <w:t>由华锐智呈/安正智创统筹安排偿还资金，对两笔融资分别按约定日期一次性结清；</w:t>
      </w:r>
    </w:p>
    <w:p>
      <w:pPr>
        <w:numPr>
          <w:numId w:val="93"/>
        </w:numPr>
        <w:spacing w:before="120" w:after="120" w:line="288" w:lineRule="auto"/>
        <w:ind w:left="453"/>
        <w:jc w:val="left"/>
      </w:pPr>
      <w:r>
        <w:rPr>
          <w:rFonts w:eastAsia="等线" w:ascii="Arial" w:cs="Arial" w:hAnsi="Arial"/>
          <w:sz w:val="22"/>
        </w:rPr>
        <w:t>在确认全部本息及费用结清后，由两家金租公司办理相关设备或资产的解押、解除担保及权利负担；</w:t>
      </w:r>
    </w:p>
    <w:p>
      <w:pPr>
        <w:numPr>
          <w:numId w:val="94"/>
        </w:numPr>
        <w:spacing w:before="120" w:after="120" w:line="288" w:lineRule="auto"/>
        <w:ind w:left="453"/>
        <w:jc w:val="left"/>
      </w:pPr>
      <w:r>
        <w:rPr>
          <w:rFonts w:eastAsia="等线" w:ascii="Arial" w:cs="Arial" w:hAnsi="Arial"/>
          <w:sz w:val="22"/>
        </w:rPr>
        <w:t xml:space="preserve">按合同约定退还合计约 </w:t>
      </w:r>
      <w:r>
        <w:rPr>
          <w:rFonts w:eastAsia="等线" w:ascii="Arial" w:cs="Arial" w:hAnsi="Arial"/>
          <w:b w:val="true"/>
          <w:sz w:val="22"/>
        </w:rPr>
        <w:t>1</w:t>
      </w:r>
      <w:r>
        <w:rPr>
          <w:rFonts w:eastAsia="等线" w:ascii="Arial" w:cs="Arial" w:hAnsi="Arial"/>
          <w:b w:val="true"/>
          <w:sz w:val="22"/>
        </w:rPr>
        <w:t>5 万元</w:t>
      </w:r>
      <w:r>
        <w:rPr>
          <w:rFonts w:eastAsia="等线" w:ascii="Arial" w:cs="Arial" w:hAnsi="Arial"/>
          <w:sz w:val="22"/>
        </w:rPr>
        <w:t>保证金，相应资金回流公司；</w:t>
      </w:r>
    </w:p>
    <w:p>
      <w:pPr>
        <w:numPr>
          <w:numId w:val="95"/>
        </w:numPr>
        <w:spacing w:before="120" w:after="120" w:line="288" w:lineRule="auto"/>
        <w:ind w:left="453"/>
        <w:jc w:val="left"/>
      </w:pPr>
      <w:r>
        <w:rPr>
          <w:rFonts w:eastAsia="等线" w:ascii="Arial" w:cs="Arial" w:hAnsi="Arial"/>
          <w:sz w:val="22"/>
        </w:rPr>
        <w:t>完成上述操作后，再推进安正智创收购城乡共创股权、管理层收购安正智创股权及后续工商变更，确保在股权交易和工商登记环节，不再受金租合同的股权限制条款约束。</w:t>
      </w:r>
    </w:p>
    <w:p>
      <w:pPr>
        <w:numPr>
          <w:numId w:val="96"/>
        </w:numPr>
        <w:spacing w:before="120" w:after="120" w:line="288" w:lineRule="auto"/>
        <w:ind w:left="0"/>
        <w:jc w:val="left"/>
      </w:pPr>
      <w:r>
        <w:rPr>
          <w:rFonts w:eastAsia="等线" w:ascii="Arial" w:cs="Arial" w:hAnsi="Arial"/>
          <w:b w:val="true"/>
          <w:sz w:val="22"/>
        </w:rPr>
        <w:t>风险与注意事项</w:t>
      </w:r>
    </w:p>
    <w:p>
      <w:pPr>
        <w:numPr>
          <w:numId w:val="97"/>
        </w:numPr>
        <w:spacing w:before="120" w:after="120" w:line="288" w:lineRule="auto"/>
        <w:ind w:left="453"/>
        <w:jc w:val="left"/>
      </w:pPr>
      <w:r>
        <w:rPr>
          <w:rFonts w:eastAsia="等线" w:ascii="Arial" w:cs="Arial" w:hAnsi="Arial"/>
          <w:sz w:val="22"/>
        </w:rPr>
        <w:t>对现金流有阶段性压力，需要在整体资金盘子中统筹安排；</w:t>
      </w:r>
    </w:p>
    <w:p>
      <w:pPr>
        <w:numPr>
          <w:numId w:val="98"/>
        </w:numPr>
        <w:spacing w:before="120" w:after="120" w:line="288" w:lineRule="auto"/>
        <w:ind w:left="453"/>
        <w:jc w:val="left"/>
      </w:pPr>
      <w:r>
        <w:rPr>
          <w:rFonts w:eastAsia="等线" w:ascii="Arial" w:cs="Arial" w:hAnsi="Arial"/>
          <w:sz w:val="22"/>
        </w:rPr>
        <w:t>需事先测算提前还款违约金及未摊销融资成本，与维持至期满的利息成本进行对比，确保决策“经济性”合理。</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9" w:id="29"/>
      <w:r>
        <w:rPr>
          <w:rFonts w:eastAsia="等线" w:ascii="Arial" w:cs="Arial" w:hAnsi="Arial"/>
          <w:b w:val="true"/>
          <w:sz w:val="28"/>
        </w:rPr>
        <w:t>路径二：通过统一股权代持安排，阶段性维持安正企管名义股东地位</w:t>
      </w:r>
      <w:bookmarkEnd w:id="29"/>
    </w:p>
    <w:p>
      <w:pPr>
        <w:spacing w:before="120" w:after="120" w:line="288" w:lineRule="auto"/>
        <w:ind w:left="0"/>
        <w:jc w:val="left"/>
      </w:pPr>
      <w:r>
        <w:rPr>
          <w:rFonts w:eastAsia="等线" w:ascii="Arial" w:cs="Arial" w:hAnsi="Arial"/>
          <w:sz w:val="22"/>
        </w:rPr>
        <w:t xml:space="preserve">如短期内难以一次性结清全部 </w:t>
      </w:r>
      <w:r>
        <w:rPr>
          <w:rFonts w:eastAsia="等线" w:ascii="Arial" w:cs="Arial" w:hAnsi="Arial"/>
          <w:sz w:val="22"/>
        </w:rPr>
        <w:t>600</w:t>
      </w:r>
      <w:r>
        <w:rPr>
          <w:rFonts w:eastAsia="等线" w:ascii="Arial" w:cs="Arial" w:hAnsi="Arial"/>
          <w:sz w:val="22"/>
        </w:rPr>
        <w:t xml:space="preserve"> 万元融资，或提前还款成本明显高于继续持有的经济收益，则可通过与金租方进行约定以股权代持的方案，确定安正企管为华锐智呈实际控制人，以避免因股权变更而触发违约条款。</w:t>
      </w:r>
    </w:p>
    <w:p>
      <w:pPr>
        <w:numPr>
          <w:numId w:val="99"/>
        </w:numPr>
        <w:spacing w:before="120" w:after="120" w:line="288" w:lineRule="auto"/>
        <w:ind w:left="0"/>
        <w:jc w:val="left"/>
      </w:pPr>
      <w:r>
        <w:rPr>
          <w:rFonts w:eastAsia="等线" w:ascii="Arial" w:cs="Arial" w:hAnsi="Arial"/>
          <w:b w:val="true"/>
          <w:sz w:val="22"/>
        </w:rPr>
        <w:t>基本思路</w:t>
      </w:r>
    </w:p>
    <w:p>
      <w:pPr>
        <w:numPr>
          <w:numId w:val="100"/>
        </w:numPr>
        <w:spacing w:before="120" w:after="120" w:line="288" w:lineRule="auto"/>
        <w:ind w:left="453"/>
        <w:jc w:val="left"/>
      </w:pPr>
      <w:r>
        <w:rPr>
          <w:rFonts w:eastAsia="等线" w:ascii="Arial" w:cs="Arial" w:hAnsi="Arial"/>
          <w:sz w:val="22"/>
        </w:rPr>
        <w:t>在</w:t>
      </w:r>
      <w:r>
        <w:rPr>
          <w:rFonts w:eastAsia="等线" w:ascii="Arial" w:cs="Arial" w:hAnsi="Arial"/>
          <w:sz w:val="22"/>
        </w:rPr>
        <w:t>苏州</w:t>
      </w:r>
      <w:r>
        <w:rPr>
          <w:rFonts w:eastAsia="等线" w:ascii="Arial" w:cs="Arial" w:hAnsi="Arial"/>
          <w:sz w:val="22"/>
        </w:rPr>
        <w:t>金租合同存续期间，与金租方达成协议，提供新SPV代持安正企管对华锐智呈股权的协议，新SPV为华锐智呈工商登记的股东；</w:t>
      </w:r>
    </w:p>
    <w:p>
      <w:pPr>
        <w:numPr>
          <w:numId w:val="101"/>
        </w:numPr>
        <w:spacing w:before="120" w:after="120" w:line="288" w:lineRule="auto"/>
        <w:ind w:left="453"/>
        <w:jc w:val="left"/>
      </w:pPr>
      <w:r>
        <w:rPr>
          <w:rFonts w:eastAsia="等线" w:ascii="Arial" w:cs="Arial" w:hAnsi="Arial"/>
          <w:sz w:val="22"/>
        </w:rPr>
        <w:t>新设SPV与安正企管签署的《股权代持协议》，表面取得对安正智创及其持有的华锐智呈股权的实际控制权和收益权，以避免触发违约条款。</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《股权代持协议新设SPV——安正企管》（用于提供给金租方）（12月15日前）</w:t>
            </w:r>
            <w:r>
              <w:rPr>
                <w:rFonts w:eastAsia="等线" w:ascii="Arial" w:cs="Arial" w:hAnsi="Arial"/>
                <w:sz w:val="22"/>
              </w:rPr>
              <w:br/>
            </w:r>
            <w:r>
              <w:rPr>
                <w:rFonts w:eastAsia="等线" w:ascii="Arial" w:cs="Arial" w:hAnsi="Arial"/>
                <w:b w:val="true"/>
                <w:sz w:val="22"/>
              </w:rPr>
              <w:t>《股权代持协议补充协议》（用于内部，表明实质上不为代持）（12月31日前）</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0" w:id="30"/>
      <w:r>
        <w:rPr>
          <w:rFonts w:eastAsia="等线" w:ascii="Arial" w:cs="Arial" w:hAnsi="Arial"/>
          <w:b w:val="true"/>
          <w:sz w:val="30"/>
        </w:rPr>
        <w:t>（二）税务事项</w:t>
      </w:r>
      <w:bookmarkEnd w:id="30"/>
    </w:p>
    <w:p>
      <w:pPr>
        <w:numPr>
          <w:numId w:val="102"/>
        </w:numPr>
        <w:spacing w:before="120" w:after="120" w:line="288" w:lineRule="auto"/>
        <w:ind w:left="0"/>
        <w:jc w:val="left"/>
      </w:pPr>
      <w:r>
        <w:rPr>
          <w:rFonts w:eastAsia="等线" w:ascii="Arial" w:cs="Arial" w:hAnsi="Arial"/>
          <w:sz w:val="22"/>
        </w:rPr>
        <w:t>安正智创收购城乡共创10%华锐智呈股权，城乡共创账面确认200-30.2=169.8万亏损，不涉及所得税增加</w:t>
      </w:r>
    </w:p>
    <w:p>
      <w:pPr>
        <w:numPr>
          <w:numId w:val="103"/>
        </w:numPr>
        <w:spacing w:before="120" w:after="120" w:line="288" w:lineRule="auto"/>
        <w:ind w:left="0"/>
        <w:jc w:val="left"/>
      </w:pPr>
      <w:r>
        <w:rPr>
          <w:rFonts w:eastAsia="等线" w:ascii="Arial" w:cs="Arial" w:hAnsi="Arial"/>
          <w:sz w:val="22"/>
        </w:rPr>
        <w:t>SPV收购安正智创100%华锐智呈股权，收购对价700万低于账面长投1800万，确认亏损，不涉及所得税增加</w:t>
      </w:r>
      <w:r>
        <w:rPr>
          <w:rFonts w:eastAsia="等线" w:ascii="Arial" w:cs="Arial" w:hAnsi="Arial"/>
          <w:sz w:val="22"/>
        </w:rPr>
        <w:t>。后续安正智创可用于不良资产或其他有利润项目用途</w:t>
      </w:r>
    </w:p>
    <w:p>
      <w:pPr>
        <w:numPr>
          <w:numId w:val="104"/>
        </w:numPr>
        <w:spacing w:before="120" w:after="120" w:line="288" w:lineRule="auto"/>
        <w:ind w:left="0"/>
        <w:jc w:val="left"/>
      </w:pPr>
      <w:r>
        <w:rPr>
          <w:rFonts w:eastAsia="等线" w:ascii="Arial" w:cs="Arial" w:hAnsi="Arial"/>
          <w:sz w:val="22"/>
        </w:rPr>
        <w:t>承泽股权回转：因属于原价0元股转，且属于同一年内，不涉及新增所得税负</w:t>
      </w:r>
    </w:p>
    <w:p>
      <w:pPr>
        <w:spacing w:before="120" w:after="120" w:line="288" w:lineRule="auto"/>
        <w:ind w:left="0"/>
        <w:jc w:val="left"/>
      </w:pPr>
    </w:p>
    <w:sectPr>
      <w:footerReference w:type="default" r:id="rId3"/>
      <w:headerReference w:type="default" r:id="rId1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90634">
    <w:lvl>
      <w:numFmt w:val="bullet"/>
      <w:suff w:val="tab"/>
      <w:lvlText w:val="•"/>
      <w:rPr>
        <w:color w:val="3370ff"/>
      </w:rPr>
    </w:lvl>
  </w:abstractNum>
  <w:abstractNum w:abstractNumId="190635">
    <w:lvl>
      <w:numFmt w:val="bullet"/>
      <w:suff w:val="tab"/>
      <w:lvlText w:val="•"/>
      <w:rPr>
        <w:color w:val="3370ff"/>
      </w:rPr>
    </w:lvl>
  </w:abstractNum>
  <w:abstractNum w:abstractNumId="190636">
    <w:lvl>
      <w:numFmt w:val="bullet"/>
      <w:suff w:val="tab"/>
      <w:lvlText w:val="•"/>
      <w:rPr>
        <w:color w:val="3370ff"/>
      </w:rPr>
    </w:lvl>
  </w:abstractNum>
  <w:abstractNum w:abstractNumId="190637">
    <w:lvl>
      <w:numFmt w:val="bullet"/>
      <w:suff w:val="tab"/>
      <w:lvlText w:val="•"/>
      <w:rPr>
        <w:color w:val="3370ff"/>
      </w:rPr>
    </w:lvl>
  </w:abstractNum>
  <w:abstractNum w:abstractNumId="190638">
    <w:lvl>
      <w:numFmt w:val="bullet"/>
      <w:suff w:val="tab"/>
      <w:lvlText w:val="•"/>
      <w:rPr>
        <w:color w:val="3370ff"/>
      </w:rPr>
    </w:lvl>
  </w:abstractNum>
  <w:abstractNum w:abstractNumId="190639">
    <w:lvl>
      <w:numFmt w:val="bullet"/>
      <w:suff w:val="tab"/>
      <w:lvlText w:val="•"/>
      <w:rPr>
        <w:color w:val="3370ff"/>
      </w:rPr>
    </w:lvl>
  </w:abstractNum>
  <w:abstractNum w:abstractNumId="190640">
    <w:lvl>
      <w:numFmt w:val="bullet"/>
      <w:suff w:val="tab"/>
      <w:lvlText w:val="•"/>
      <w:rPr>
        <w:color w:val="3370ff"/>
      </w:rPr>
    </w:lvl>
  </w:abstractNum>
  <w:abstractNum w:abstractNumId="190641">
    <w:lvl>
      <w:numFmt w:val="bullet"/>
      <w:suff w:val="tab"/>
      <w:lvlText w:val="•"/>
      <w:rPr>
        <w:color w:val="3370ff"/>
      </w:rPr>
    </w:lvl>
  </w:abstractNum>
  <w:abstractNum w:abstractNumId="190642">
    <w:lvl>
      <w:numFmt w:val="bullet"/>
      <w:suff w:val="tab"/>
      <w:lvlText w:val="•"/>
      <w:rPr>
        <w:color w:val="3370ff"/>
      </w:rPr>
    </w:lvl>
  </w:abstractNum>
  <w:abstractNum w:abstractNumId="190643">
    <w:lvl>
      <w:start w:val="1"/>
      <w:numFmt w:val="decimal"/>
      <w:suff w:val="tab"/>
      <w:lvlText w:val="%1."/>
      <w:rPr>
        <w:color w:val="3370ff"/>
      </w:rPr>
    </w:lvl>
  </w:abstractNum>
  <w:abstractNum w:abstractNumId="190644">
    <w:lvl>
      <w:start w:val="2"/>
      <w:numFmt w:val="decimal"/>
      <w:suff w:val="tab"/>
      <w:lvlText w:val="%1."/>
      <w:rPr>
        <w:color w:val="3370ff"/>
      </w:rPr>
    </w:lvl>
  </w:abstractNum>
  <w:abstractNum w:abstractNumId="190645">
    <w:lvl>
      <w:start w:val="1"/>
      <w:numFmt w:val="lowerLetter"/>
      <w:suff w:val="tab"/>
      <w:lvlText w:val="%1."/>
      <w:rPr>
        <w:color w:val="3370ff"/>
      </w:rPr>
    </w:lvl>
  </w:abstractNum>
  <w:abstractNum w:abstractNumId="190646">
    <w:lvl>
      <w:start w:val="2"/>
      <w:numFmt w:val="lowerLetter"/>
      <w:suff w:val="tab"/>
      <w:lvlText w:val="%1."/>
      <w:rPr>
        <w:color w:val="3370ff"/>
      </w:rPr>
    </w:lvl>
  </w:abstractNum>
  <w:abstractNum w:abstractNumId="190647">
    <w:lvl>
      <w:start w:val="3"/>
      <w:numFmt w:val="lowerLetter"/>
      <w:suff w:val="tab"/>
      <w:lvlText w:val="%1."/>
      <w:rPr>
        <w:color w:val="3370ff"/>
      </w:rPr>
    </w:lvl>
  </w:abstractNum>
  <w:abstractNum w:abstractNumId="190648">
    <w:lvl>
      <w:numFmt w:val="bullet"/>
      <w:suff w:val="tab"/>
      <w:lvlText w:val="￮"/>
      <w:rPr>
        <w:color w:val="3370ff"/>
      </w:rPr>
    </w:lvl>
  </w:abstractNum>
  <w:abstractNum w:abstractNumId="190649">
    <w:lvl>
      <w:numFmt w:val="bullet"/>
      <w:suff w:val="tab"/>
      <w:lvlText w:val="▪"/>
      <w:rPr>
        <w:color w:val="3370ff"/>
        <w:sz w:val="11"/>
      </w:rPr>
    </w:lvl>
  </w:abstractNum>
  <w:abstractNum w:abstractNumId="190650">
    <w:lvl>
      <w:numFmt w:val="bullet"/>
      <w:suff w:val="tab"/>
      <w:lvlText w:val="▪"/>
      <w:rPr>
        <w:color w:val="3370ff"/>
        <w:sz w:val="11"/>
      </w:rPr>
    </w:lvl>
  </w:abstractNum>
  <w:abstractNum w:abstractNumId="190651">
    <w:lvl>
      <w:numFmt w:val="bullet"/>
      <w:suff w:val="tab"/>
      <w:lvlText w:val="￮"/>
      <w:rPr>
        <w:color w:val="3370ff"/>
      </w:rPr>
    </w:lvl>
  </w:abstractNum>
  <w:abstractNum w:abstractNumId="190652">
    <w:lvl>
      <w:numFmt w:val="bullet"/>
      <w:suff w:val="tab"/>
      <w:lvlText w:val="▪"/>
      <w:rPr>
        <w:color w:val="3370ff"/>
        <w:sz w:val="11"/>
      </w:rPr>
    </w:lvl>
  </w:abstractNum>
  <w:abstractNum w:abstractNumId="190653">
    <w:lvl>
      <w:start w:val="1"/>
      <w:numFmt w:val="lowerLetter"/>
      <w:suff w:val="tab"/>
      <w:lvlText w:val="%1."/>
      <w:rPr>
        <w:color w:val="3370ff"/>
      </w:rPr>
    </w:lvl>
  </w:abstractNum>
  <w:abstractNum w:abstractNumId="190654">
    <w:lvl>
      <w:numFmt w:val="bullet"/>
      <w:suff w:val="tab"/>
      <w:lvlText w:val="▪"/>
      <w:rPr>
        <w:color w:val="3370ff"/>
        <w:sz w:val="11"/>
      </w:rPr>
    </w:lvl>
  </w:abstractNum>
  <w:abstractNum w:abstractNumId="190655">
    <w:lvl>
      <w:numFmt w:val="bullet"/>
      <w:suff w:val="tab"/>
      <w:lvlText w:val="▪"/>
      <w:rPr>
        <w:color w:val="3370ff"/>
        <w:sz w:val="11"/>
      </w:rPr>
    </w:lvl>
  </w:abstractNum>
  <w:abstractNum w:abstractNumId="190656">
    <w:lvl>
      <w:numFmt w:val="bullet"/>
      <w:suff w:val="tab"/>
      <w:lvlText w:val="▪"/>
      <w:rPr>
        <w:color w:val="3370ff"/>
        <w:sz w:val="11"/>
      </w:rPr>
    </w:lvl>
  </w:abstractNum>
  <w:abstractNum w:abstractNumId="190657">
    <w:lvl>
      <w:start w:val="2"/>
      <w:numFmt w:val="lowerLetter"/>
      <w:suff w:val="tab"/>
      <w:lvlText w:val="%1."/>
      <w:rPr>
        <w:color w:val="3370ff"/>
      </w:rPr>
    </w:lvl>
  </w:abstractNum>
  <w:abstractNum w:abstractNumId="190658">
    <w:lvl>
      <w:numFmt w:val="bullet"/>
      <w:suff w:val="tab"/>
      <w:lvlText w:val="▪"/>
      <w:rPr>
        <w:color w:val="3370ff"/>
        <w:sz w:val="11"/>
      </w:rPr>
    </w:lvl>
  </w:abstractNum>
  <w:abstractNum w:abstractNumId="190659">
    <w:lvl>
      <w:numFmt w:val="bullet"/>
      <w:suff w:val="tab"/>
      <w:lvlText w:val="￮"/>
      <w:rPr>
        <w:color w:val="3370ff"/>
      </w:rPr>
    </w:lvl>
  </w:abstractNum>
  <w:abstractNum w:abstractNumId="190660">
    <w:lvl>
      <w:numFmt w:val="bullet"/>
      <w:suff w:val="tab"/>
      <w:lvlText w:val="￮"/>
      <w:rPr>
        <w:color w:val="3370ff"/>
      </w:rPr>
    </w:lvl>
  </w:abstractNum>
  <w:abstractNum w:abstractNumId="190661">
    <w:lvl>
      <w:numFmt w:val="bullet"/>
      <w:suff w:val="tab"/>
      <w:lvlText w:val="￮"/>
      <w:rPr>
        <w:color w:val="3370ff"/>
      </w:rPr>
    </w:lvl>
  </w:abstractNum>
  <w:abstractNum w:abstractNumId="190662">
    <w:lvl>
      <w:numFmt w:val="bullet"/>
      <w:suff w:val="tab"/>
      <w:lvlText w:val="￮"/>
      <w:rPr>
        <w:color w:val="3370ff"/>
      </w:rPr>
    </w:lvl>
  </w:abstractNum>
  <w:abstractNum w:abstractNumId="190663">
    <w:lvl>
      <w:numFmt w:val="bullet"/>
      <w:suff w:val="tab"/>
      <w:lvlText w:val="￮"/>
      <w:rPr>
        <w:color w:val="3370ff"/>
      </w:rPr>
    </w:lvl>
  </w:abstractNum>
  <w:abstractNum w:abstractNumId="190664">
    <w:lvl>
      <w:numFmt w:val="bullet"/>
      <w:suff w:val="tab"/>
      <w:lvlText w:val="￮"/>
      <w:rPr>
        <w:color w:val="3370ff"/>
      </w:rPr>
    </w:lvl>
  </w:abstractNum>
  <w:abstractNum w:abstractNumId="190665">
    <w:lvl>
      <w:numFmt w:val="bullet"/>
      <w:suff w:val="tab"/>
      <w:lvlText w:val="•"/>
      <w:rPr>
        <w:color w:val="3370ff"/>
      </w:rPr>
    </w:lvl>
  </w:abstractNum>
  <w:abstractNum w:abstractNumId="190666">
    <w:lvl>
      <w:numFmt w:val="bullet"/>
      <w:suff w:val="tab"/>
      <w:lvlText w:val="￮"/>
      <w:rPr>
        <w:color w:val="3370ff"/>
      </w:rPr>
    </w:lvl>
  </w:abstractNum>
  <w:abstractNum w:abstractNumId="190667">
    <w:lvl>
      <w:numFmt w:val="bullet"/>
      <w:suff w:val="tab"/>
      <w:lvlText w:val="￮"/>
      <w:rPr>
        <w:color w:val="3370ff"/>
      </w:rPr>
    </w:lvl>
  </w:abstractNum>
  <w:abstractNum w:abstractNumId="190668">
    <w:lvl>
      <w:numFmt w:val="bullet"/>
      <w:suff w:val="tab"/>
      <w:lvlText w:val="￮"/>
      <w:rPr>
        <w:color w:val="3370ff"/>
      </w:rPr>
    </w:lvl>
  </w:abstractNum>
  <w:abstractNum w:abstractNumId="190669">
    <w:lvl>
      <w:numFmt w:val="bullet"/>
      <w:suff w:val="tab"/>
      <w:lvlText w:val="•"/>
      <w:rPr>
        <w:color w:val="3370ff"/>
      </w:rPr>
    </w:lvl>
  </w:abstractNum>
  <w:abstractNum w:abstractNumId="190670">
    <w:lvl>
      <w:numFmt w:val="bullet"/>
      <w:suff w:val="tab"/>
      <w:lvlText w:val="￮"/>
      <w:rPr>
        <w:color w:val="3370ff"/>
      </w:rPr>
    </w:lvl>
  </w:abstractNum>
  <w:abstractNum w:abstractNumId="190671">
    <w:lvl>
      <w:numFmt w:val="bullet"/>
      <w:suff w:val="tab"/>
      <w:lvlText w:val="￮"/>
      <w:rPr>
        <w:color w:val="3370ff"/>
      </w:rPr>
    </w:lvl>
  </w:abstractNum>
  <w:abstractNum w:abstractNumId="190672">
    <w:lvl>
      <w:numFmt w:val="bullet"/>
      <w:suff w:val="tab"/>
      <w:lvlText w:val="•"/>
      <w:rPr>
        <w:color w:val="3370ff"/>
      </w:rPr>
    </w:lvl>
  </w:abstractNum>
  <w:abstractNum w:abstractNumId="190673">
    <w:lvl>
      <w:numFmt w:val="bullet"/>
      <w:suff w:val="tab"/>
      <w:lvlText w:val="￮"/>
      <w:rPr>
        <w:color w:val="3370ff"/>
      </w:rPr>
    </w:lvl>
  </w:abstractNum>
  <w:abstractNum w:abstractNumId="190674">
    <w:lvl>
      <w:numFmt w:val="bullet"/>
      <w:suff w:val="tab"/>
      <w:lvlText w:val="￮"/>
      <w:rPr>
        <w:color w:val="3370ff"/>
      </w:rPr>
    </w:lvl>
  </w:abstractNum>
  <w:abstractNum w:abstractNumId="190675">
    <w:lvl>
      <w:numFmt w:val="bullet"/>
      <w:suff w:val="tab"/>
      <w:lvlText w:val="￮"/>
      <w:rPr>
        <w:color w:val="3370ff"/>
      </w:rPr>
    </w:lvl>
  </w:abstractNum>
  <w:abstractNum w:abstractNumId="190676">
    <w:lvl>
      <w:numFmt w:val="bullet"/>
      <w:suff w:val="tab"/>
      <w:lvlText w:val="￮"/>
      <w:rPr>
        <w:color w:val="3370ff"/>
      </w:rPr>
    </w:lvl>
  </w:abstractNum>
  <w:abstractNum w:abstractNumId="190677">
    <w:lvl>
      <w:numFmt w:val="bullet"/>
      <w:suff w:val="tab"/>
      <w:lvlText w:val="•"/>
      <w:rPr>
        <w:color w:val="3370ff"/>
      </w:rPr>
    </w:lvl>
  </w:abstractNum>
  <w:abstractNum w:abstractNumId="190678">
    <w:lvl>
      <w:numFmt w:val="bullet"/>
      <w:suff w:val="tab"/>
      <w:lvlText w:val="￮"/>
      <w:rPr>
        <w:color w:val="3370ff"/>
      </w:rPr>
    </w:lvl>
  </w:abstractNum>
  <w:abstractNum w:abstractNumId="190679">
    <w:lvl>
      <w:numFmt w:val="bullet"/>
      <w:suff w:val="tab"/>
      <w:lvlText w:val="￮"/>
      <w:rPr>
        <w:color w:val="3370ff"/>
      </w:rPr>
    </w:lvl>
  </w:abstractNum>
  <w:abstractNum w:abstractNumId="190680">
    <w:lvl>
      <w:numFmt w:val="bullet"/>
      <w:suff w:val="tab"/>
      <w:lvlText w:val="￮"/>
      <w:rPr>
        <w:color w:val="3370ff"/>
      </w:rPr>
    </w:lvl>
  </w:abstractNum>
  <w:abstractNum w:abstractNumId="190681">
    <w:lvl>
      <w:numFmt w:val="bullet"/>
      <w:suff w:val="tab"/>
      <w:lvlText w:val="•"/>
      <w:rPr>
        <w:color w:val="3370ff"/>
      </w:rPr>
    </w:lvl>
  </w:abstractNum>
  <w:abstractNum w:abstractNumId="190682">
    <w:lvl>
      <w:numFmt w:val="bullet"/>
      <w:suff w:val="tab"/>
      <w:lvlText w:val="￮"/>
      <w:rPr>
        <w:color w:val="3370ff"/>
      </w:rPr>
    </w:lvl>
  </w:abstractNum>
  <w:abstractNum w:abstractNumId="190683">
    <w:lvl>
      <w:numFmt w:val="bullet"/>
      <w:suff w:val="tab"/>
      <w:lvlText w:val="￮"/>
      <w:rPr>
        <w:color w:val="3370ff"/>
      </w:rPr>
    </w:lvl>
  </w:abstractNum>
  <w:abstractNum w:abstractNumId="190684">
    <w:lvl>
      <w:numFmt w:val="bullet"/>
      <w:suff w:val="tab"/>
      <w:lvlText w:val="•"/>
      <w:rPr>
        <w:color w:val="3370ff"/>
      </w:rPr>
    </w:lvl>
  </w:abstractNum>
  <w:abstractNum w:abstractNumId="190685">
    <w:lvl>
      <w:numFmt w:val="bullet"/>
      <w:suff w:val="tab"/>
      <w:lvlText w:val="￮"/>
      <w:rPr>
        <w:color w:val="3370ff"/>
      </w:rPr>
    </w:lvl>
  </w:abstractNum>
  <w:abstractNum w:abstractNumId="190686">
    <w:lvl>
      <w:numFmt w:val="bullet"/>
      <w:suff w:val="tab"/>
      <w:lvlText w:val="￮"/>
      <w:rPr>
        <w:color w:val="3370ff"/>
      </w:rPr>
    </w:lvl>
  </w:abstractNum>
  <w:abstractNum w:abstractNumId="190687">
    <w:lvl>
      <w:numFmt w:val="bullet"/>
      <w:suff w:val="tab"/>
      <w:lvlText w:val="￮"/>
      <w:rPr>
        <w:color w:val="3370ff"/>
      </w:rPr>
    </w:lvl>
  </w:abstractNum>
  <w:abstractNum w:abstractNumId="190688">
    <w:lvl>
      <w:numFmt w:val="bullet"/>
      <w:suff w:val="tab"/>
      <w:lvlText w:val="￮"/>
      <w:rPr>
        <w:color w:val="3370ff"/>
      </w:rPr>
    </w:lvl>
  </w:abstractNum>
  <w:abstractNum w:abstractNumId="190689">
    <w:lvl>
      <w:numFmt w:val="bullet"/>
      <w:suff w:val="tab"/>
      <w:lvlText w:val="▪"/>
      <w:rPr>
        <w:color w:val="3370ff"/>
        <w:sz w:val="11"/>
      </w:rPr>
    </w:lvl>
  </w:abstractNum>
  <w:abstractNum w:abstractNumId="190690">
    <w:lvl>
      <w:numFmt w:val="bullet"/>
      <w:suff w:val="tab"/>
      <w:lvlText w:val="▪"/>
      <w:rPr>
        <w:color w:val="3370ff"/>
        <w:sz w:val="11"/>
      </w:rPr>
    </w:lvl>
  </w:abstractNum>
  <w:abstractNum w:abstractNumId="190691">
    <w:lvl>
      <w:numFmt w:val="bullet"/>
      <w:suff w:val="tab"/>
      <w:lvlText w:val="▪"/>
      <w:rPr>
        <w:color w:val="3370ff"/>
        <w:sz w:val="11"/>
      </w:rPr>
    </w:lvl>
  </w:abstractNum>
  <w:abstractNum w:abstractNumId="190692">
    <w:lvl>
      <w:numFmt w:val="bullet"/>
      <w:suff w:val="tab"/>
      <w:lvlText w:val="▪"/>
      <w:rPr>
        <w:color w:val="3370ff"/>
        <w:sz w:val="11"/>
      </w:rPr>
    </w:lvl>
  </w:abstractNum>
  <w:abstractNum w:abstractNumId="190693">
    <w:lvl>
      <w:numFmt w:val="bullet"/>
      <w:suff w:val="tab"/>
      <w:lvlText w:val="•"/>
      <w:rPr>
        <w:color w:val="3370ff"/>
      </w:rPr>
    </w:lvl>
  </w:abstractNum>
  <w:abstractNum w:abstractNumId="190694">
    <w:lvl>
      <w:numFmt w:val="bullet"/>
      <w:suff w:val="tab"/>
      <w:lvlText w:val="•"/>
      <w:rPr>
        <w:color w:val="3370ff"/>
      </w:rPr>
    </w:lvl>
  </w:abstractNum>
  <w:abstractNum w:abstractNumId="190695">
    <w:lvl>
      <w:numFmt w:val="bullet"/>
      <w:suff w:val="tab"/>
      <w:lvlText w:val="•"/>
      <w:rPr>
        <w:color w:val="3370ff"/>
      </w:rPr>
    </w:lvl>
  </w:abstractNum>
  <w:abstractNum w:abstractNumId="190696">
    <w:lvl>
      <w:numFmt w:val="bullet"/>
      <w:suff w:val="tab"/>
      <w:lvlText w:val="•"/>
      <w:rPr>
        <w:color w:val="3370ff"/>
      </w:rPr>
    </w:lvl>
  </w:abstractNum>
  <w:abstractNum w:abstractNumId="190697">
    <w:lvl>
      <w:numFmt w:val="bullet"/>
      <w:suff w:val="tab"/>
      <w:lvlText w:val="•"/>
      <w:rPr>
        <w:color w:val="3370ff"/>
      </w:rPr>
    </w:lvl>
  </w:abstractNum>
  <w:abstractNum w:abstractNumId="190698">
    <w:lvl>
      <w:numFmt w:val="bullet"/>
      <w:suff w:val="tab"/>
      <w:lvlText w:val="￮"/>
      <w:rPr>
        <w:color w:val="3370ff"/>
      </w:rPr>
    </w:lvl>
  </w:abstractNum>
  <w:abstractNum w:abstractNumId="190699">
    <w:lvl>
      <w:numFmt w:val="bullet"/>
      <w:suff w:val="tab"/>
      <w:lvlText w:val="•"/>
      <w:rPr>
        <w:color w:val="3370ff"/>
      </w:rPr>
    </w:lvl>
  </w:abstractNum>
  <w:abstractNum w:abstractNumId="190700">
    <w:lvl>
      <w:numFmt w:val="bullet"/>
      <w:suff w:val="tab"/>
      <w:lvlText w:val="￮"/>
      <w:rPr>
        <w:color w:val="3370ff"/>
      </w:rPr>
    </w:lvl>
  </w:abstractNum>
  <w:abstractNum w:abstractNumId="190701">
    <w:lvl>
      <w:numFmt w:val="bullet"/>
      <w:suff w:val="tab"/>
      <w:lvlText w:val="•"/>
      <w:rPr>
        <w:color w:val="3370ff"/>
      </w:rPr>
    </w:lvl>
  </w:abstractNum>
  <w:abstractNum w:abstractNumId="190702">
    <w:lvl>
      <w:numFmt w:val="bullet"/>
      <w:suff w:val="tab"/>
      <w:lvlText w:val="￮"/>
      <w:rPr>
        <w:color w:val="3370ff"/>
      </w:rPr>
    </w:lvl>
  </w:abstractNum>
  <w:abstractNum w:abstractNumId="190703">
    <w:lvl>
      <w:numFmt w:val="bullet"/>
      <w:suff w:val="tab"/>
      <w:lvlText w:val="￮"/>
      <w:rPr>
        <w:color w:val="3370ff"/>
      </w:rPr>
    </w:lvl>
  </w:abstractNum>
  <w:abstractNum w:abstractNumId="190704">
    <w:lvl>
      <w:numFmt w:val="bullet"/>
      <w:suff w:val="tab"/>
      <w:lvlText w:val="•"/>
      <w:rPr>
        <w:color w:val="3370ff"/>
      </w:rPr>
    </w:lvl>
  </w:abstractNum>
  <w:abstractNum w:abstractNumId="190705">
    <w:lvl>
      <w:numFmt w:val="bullet"/>
      <w:suff w:val="tab"/>
      <w:lvlText w:val="•"/>
      <w:rPr>
        <w:color w:val="3370ff"/>
      </w:rPr>
    </w:lvl>
  </w:abstractNum>
  <w:abstractNum w:abstractNumId="190706">
    <w:lvl>
      <w:numFmt w:val="bullet"/>
      <w:suff w:val="tab"/>
      <w:lvlText w:val="•"/>
      <w:rPr>
        <w:color w:val="3370ff"/>
      </w:rPr>
    </w:lvl>
  </w:abstractNum>
  <w:abstractNum w:abstractNumId="190707">
    <w:lvl>
      <w:numFmt w:val="bullet"/>
      <w:suff w:val="tab"/>
      <w:lvlText w:val="￮"/>
      <w:rPr>
        <w:color w:val="3370ff"/>
      </w:rPr>
    </w:lvl>
  </w:abstractNum>
  <w:abstractNum w:abstractNumId="190708">
    <w:lvl>
      <w:numFmt w:val="bullet"/>
      <w:suff w:val="tab"/>
      <w:lvlText w:val="￮"/>
      <w:rPr>
        <w:color w:val="3370ff"/>
      </w:rPr>
    </w:lvl>
  </w:abstractNum>
  <w:abstractNum w:abstractNumId="190709">
    <w:lvl>
      <w:start w:val="1"/>
      <w:numFmt w:val="decimal"/>
      <w:suff w:val="tab"/>
      <w:lvlText w:val="%1."/>
      <w:rPr>
        <w:color w:val="3370ff"/>
      </w:rPr>
    </w:lvl>
  </w:abstractNum>
  <w:abstractNum w:abstractNumId="190710">
    <w:lvl>
      <w:numFmt w:val="bullet"/>
      <w:suff w:val="tab"/>
      <w:lvlText w:val="•"/>
      <w:rPr>
        <w:color w:val="3370ff"/>
      </w:rPr>
    </w:lvl>
  </w:abstractNum>
  <w:abstractNum w:abstractNumId="190711">
    <w:lvl>
      <w:numFmt w:val="bullet"/>
      <w:suff w:val="tab"/>
      <w:lvlText w:val="￮"/>
      <w:rPr>
        <w:color w:val="3370ff"/>
      </w:rPr>
    </w:lvl>
  </w:abstractNum>
  <w:abstractNum w:abstractNumId="190712">
    <w:lvl>
      <w:numFmt w:val="bullet"/>
      <w:suff w:val="tab"/>
      <w:lvlText w:val="•"/>
      <w:rPr>
        <w:color w:val="3370ff"/>
      </w:rPr>
    </w:lvl>
  </w:abstractNum>
  <w:abstractNum w:abstractNumId="190713">
    <w:lvl>
      <w:numFmt w:val="bullet"/>
      <w:suff w:val="tab"/>
      <w:lvlText w:val="￮"/>
      <w:rPr>
        <w:color w:val="3370ff"/>
      </w:rPr>
    </w:lvl>
  </w:abstractNum>
  <w:abstractNum w:abstractNumId="190714">
    <w:lvl>
      <w:numFmt w:val="bullet"/>
      <w:suff w:val="tab"/>
      <w:lvlText w:val="•"/>
      <w:rPr>
        <w:color w:val="3370ff"/>
      </w:rPr>
    </w:lvl>
  </w:abstractNum>
  <w:abstractNum w:abstractNumId="190715">
    <w:lvl>
      <w:numFmt w:val="bullet"/>
      <w:suff w:val="tab"/>
      <w:lvlText w:val="￮"/>
      <w:rPr>
        <w:color w:val="3370ff"/>
      </w:rPr>
    </w:lvl>
  </w:abstractNum>
  <w:abstractNum w:abstractNumId="190716">
    <w:lvl>
      <w:numFmt w:val="bullet"/>
      <w:suff w:val="tab"/>
      <w:lvlText w:val="￮"/>
      <w:rPr>
        <w:color w:val="3370ff"/>
      </w:rPr>
    </w:lvl>
  </w:abstractNum>
  <w:abstractNum w:abstractNumId="190717">
    <w:lvl>
      <w:numFmt w:val="bullet"/>
      <w:suff w:val="tab"/>
      <w:lvlText w:val="￮"/>
      <w:rPr>
        <w:color w:val="3370ff"/>
      </w:rPr>
    </w:lvl>
  </w:abstractNum>
  <w:abstractNum w:abstractNumId="190718">
    <w:lvl>
      <w:numFmt w:val="bullet"/>
      <w:suff w:val="tab"/>
      <w:lvlText w:val="•"/>
      <w:rPr>
        <w:color w:val="3370ff"/>
      </w:rPr>
    </w:lvl>
  </w:abstractNum>
  <w:abstractNum w:abstractNumId="190719">
    <w:lvl>
      <w:start w:val="2"/>
      <w:numFmt w:val="decimal"/>
      <w:suff w:val="tab"/>
      <w:lvlText w:val="%1."/>
      <w:rPr>
        <w:color w:val="3370ff"/>
      </w:rPr>
    </w:lvl>
  </w:abstractNum>
  <w:abstractNum w:abstractNumId="190720">
    <w:lvl>
      <w:numFmt w:val="bullet"/>
      <w:suff w:val="tab"/>
      <w:lvlText w:val="•"/>
      <w:rPr>
        <w:color w:val="3370ff"/>
      </w:rPr>
    </w:lvl>
  </w:abstractNum>
  <w:abstractNum w:abstractNumId="190721">
    <w:lvl>
      <w:numFmt w:val="bullet"/>
      <w:suff w:val="tab"/>
      <w:lvlText w:val="•"/>
      <w:rPr>
        <w:color w:val="3370ff"/>
      </w:rPr>
    </w:lvl>
  </w:abstractNum>
  <w:abstractNum w:abstractNumId="190722">
    <w:lvl>
      <w:numFmt w:val="bullet"/>
      <w:suff w:val="tab"/>
      <w:lvlText w:val="•"/>
      <w:rPr>
        <w:color w:val="3370ff"/>
      </w:rPr>
    </w:lvl>
  </w:abstractNum>
  <w:abstractNum w:abstractNumId="190723">
    <w:lvl>
      <w:start w:val="1"/>
      <w:numFmt w:val="decimal"/>
      <w:suff w:val="tab"/>
      <w:lvlText w:val="%1."/>
      <w:rPr>
        <w:color w:val="3370ff"/>
      </w:rPr>
    </w:lvl>
  </w:abstractNum>
  <w:abstractNum w:abstractNumId="190724">
    <w:lvl>
      <w:start w:val="1"/>
      <w:numFmt w:val="lowerLetter"/>
      <w:suff w:val="tab"/>
      <w:lvlText w:val="%1."/>
      <w:rPr>
        <w:color w:val="3370ff"/>
      </w:rPr>
    </w:lvl>
  </w:abstractNum>
  <w:abstractNum w:abstractNumId="190725">
    <w:lvl>
      <w:start w:val="2"/>
      <w:numFmt w:val="lowerLetter"/>
      <w:suff w:val="tab"/>
      <w:lvlText w:val="%1."/>
      <w:rPr>
        <w:color w:val="3370ff"/>
      </w:rPr>
    </w:lvl>
  </w:abstractNum>
  <w:abstractNum w:abstractNumId="190726">
    <w:lvl>
      <w:start w:val="3"/>
      <w:numFmt w:val="lowerLetter"/>
      <w:suff w:val="tab"/>
      <w:lvlText w:val="%1."/>
      <w:rPr>
        <w:color w:val="3370ff"/>
      </w:rPr>
    </w:lvl>
  </w:abstractNum>
  <w:abstractNum w:abstractNumId="190727">
    <w:lvl>
      <w:start w:val="4"/>
      <w:numFmt w:val="lowerLetter"/>
      <w:suff w:val="tab"/>
      <w:lvlText w:val="%1."/>
      <w:rPr>
        <w:color w:val="3370ff"/>
      </w:rPr>
    </w:lvl>
  </w:abstractNum>
  <w:abstractNum w:abstractNumId="190728">
    <w:lvl>
      <w:start w:val="5"/>
      <w:numFmt w:val="lowerLetter"/>
      <w:suff w:val="tab"/>
      <w:lvlText w:val="%1."/>
      <w:rPr>
        <w:color w:val="3370ff"/>
      </w:rPr>
    </w:lvl>
  </w:abstractNum>
  <w:abstractNum w:abstractNumId="190729">
    <w:lvl>
      <w:start w:val="2"/>
      <w:numFmt w:val="decimal"/>
      <w:suff w:val="tab"/>
      <w:lvlText w:val="%1."/>
      <w:rPr>
        <w:color w:val="3370ff"/>
      </w:rPr>
    </w:lvl>
  </w:abstractNum>
  <w:abstractNum w:abstractNumId="190730">
    <w:lvl>
      <w:numFmt w:val="bullet"/>
      <w:suff w:val="tab"/>
      <w:lvlText w:val="￮"/>
      <w:rPr>
        <w:color w:val="3370ff"/>
      </w:rPr>
    </w:lvl>
  </w:abstractNum>
  <w:abstractNum w:abstractNumId="190731">
    <w:lvl>
      <w:numFmt w:val="bullet"/>
      <w:suff w:val="tab"/>
      <w:lvlText w:val="￮"/>
      <w:rPr>
        <w:color w:val="3370ff"/>
      </w:rPr>
    </w:lvl>
  </w:abstractNum>
  <w:abstractNum w:abstractNumId="190732">
    <w:lvl>
      <w:start w:val="1"/>
      <w:numFmt w:val="decimal"/>
      <w:suff w:val="tab"/>
      <w:lvlText w:val="%1."/>
      <w:rPr>
        <w:color w:val="3370ff"/>
      </w:rPr>
    </w:lvl>
  </w:abstractNum>
  <w:abstractNum w:abstractNumId="190733">
    <w:lvl>
      <w:numFmt w:val="bullet"/>
      <w:suff w:val="tab"/>
      <w:lvlText w:val="￮"/>
      <w:rPr>
        <w:color w:val="3370ff"/>
      </w:rPr>
    </w:lvl>
  </w:abstractNum>
  <w:abstractNum w:abstractNumId="190734">
    <w:lvl>
      <w:numFmt w:val="bullet"/>
      <w:suff w:val="tab"/>
      <w:lvlText w:val="￮"/>
      <w:rPr>
        <w:color w:val="3370ff"/>
      </w:rPr>
    </w:lvl>
  </w:abstractNum>
  <w:abstractNum w:abstractNumId="190735">
    <w:lvl>
      <w:numFmt w:val="bullet"/>
      <w:suff w:val="tab"/>
      <w:lvlText w:val="•"/>
      <w:rPr>
        <w:color w:val="3370ff"/>
      </w:rPr>
    </w:lvl>
  </w:abstractNum>
  <w:abstractNum w:abstractNumId="190736">
    <w:lvl>
      <w:numFmt w:val="bullet"/>
      <w:suff w:val="tab"/>
      <w:lvlText w:val="•"/>
      <w:rPr>
        <w:color w:val="3370ff"/>
      </w:rPr>
    </w:lvl>
  </w:abstractNum>
  <w:abstractNum w:abstractNumId="190737">
    <w:lvl>
      <w:numFmt w:val="bullet"/>
      <w:suff w:val="tab"/>
      <w:lvlText w:val="•"/>
      <w:rPr>
        <w:color w:val="3370ff"/>
      </w:rPr>
    </w:lvl>
  </w:abstractNum>
  <w:num w:numId="1">
    <w:abstractNumId w:val="190634"/>
  </w:num>
  <w:num w:numId="2">
    <w:abstractNumId w:val="190635"/>
  </w:num>
  <w:num w:numId="3">
    <w:abstractNumId w:val="190636"/>
  </w:num>
  <w:num w:numId="4">
    <w:abstractNumId w:val="190637"/>
  </w:num>
  <w:num w:numId="5">
    <w:abstractNumId w:val="190638"/>
  </w:num>
  <w:num w:numId="6">
    <w:abstractNumId w:val="190639"/>
  </w:num>
  <w:num w:numId="7">
    <w:abstractNumId w:val="190640"/>
  </w:num>
  <w:num w:numId="8">
    <w:abstractNumId w:val="190641"/>
  </w:num>
  <w:num w:numId="9">
    <w:abstractNumId w:val="190642"/>
  </w:num>
  <w:num w:numId="10">
    <w:abstractNumId w:val="190643"/>
  </w:num>
  <w:num w:numId="11">
    <w:abstractNumId w:val="190644"/>
  </w:num>
  <w:num w:numId="12">
    <w:abstractNumId w:val="190645"/>
  </w:num>
  <w:num w:numId="13">
    <w:abstractNumId w:val="190646"/>
  </w:num>
  <w:num w:numId="14">
    <w:abstractNumId w:val="190647"/>
  </w:num>
  <w:num w:numId="15">
    <w:abstractNumId w:val="190648"/>
  </w:num>
  <w:num w:numId="16">
    <w:abstractNumId w:val="190649"/>
  </w:num>
  <w:num w:numId="17">
    <w:abstractNumId w:val="190650"/>
  </w:num>
  <w:num w:numId="18">
    <w:abstractNumId w:val="190651"/>
  </w:num>
  <w:num w:numId="19">
    <w:abstractNumId w:val="190652"/>
  </w:num>
  <w:num w:numId="20">
    <w:abstractNumId w:val="190653"/>
  </w:num>
  <w:num w:numId="21">
    <w:abstractNumId w:val="190654"/>
  </w:num>
  <w:num w:numId="22">
    <w:abstractNumId w:val="190655"/>
  </w:num>
  <w:num w:numId="23">
    <w:abstractNumId w:val="190656"/>
  </w:num>
  <w:num w:numId="24">
    <w:abstractNumId w:val="190657"/>
  </w:num>
  <w:num w:numId="25">
    <w:abstractNumId w:val="190658"/>
  </w:num>
  <w:num w:numId="26">
    <w:abstractNumId w:val="190659"/>
  </w:num>
  <w:num w:numId="27">
    <w:abstractNumId w:val="190660"/>
  </w:num>
  <w:num w:numId="28">
    <w:abstractNumId w:val="190661"/>
  </w:num>
  <w:num w:numId="29">
    <w:abstractNumId w:val="190662"/>
  </w:num>
  <w:num w:numId="30">
    <w:abstractNumId w:val="190663"/>
  </w:num>
  <w:num w:numId="31">
    <w:abstractNumId w:val="190664"/>
  </w:num>
  <w:num w:numId="32">
    <w:abstractNumId w:val="190665"/>
  </w:num>
  <w:num w:numId="33">
    <w:abstractNumId w:val="190666"/>
  </w:num>
  <w:num w:numId="34">
    <w:abstractNumId w:val="190667"/>
  </w:num>
  <w:num w:numId="35">
    <w:abstractNumId w:val="190668"/>
  </w:num>
  <w:num w:numId="36">
    <w:abstractNumId w:val="190669"/>
  </w:num>
  <w:num w:numId="37">
    <w:abstractNumId w:val="190670"/>
  </w:num>
  <w:num w:numId="38">
    <w:abstractNumId w:val="190671"/>
  </w:num>
  <w:num w:numId="39">
    <w:abstractNumId w:val="190672"/>
  </w:num>
  <w:num w:numId="40">
    <w:abstractNumId w:val="190673"/>
  </w:num>
  <w:num w:numId="41">
    <w:abstractNumId w:val="190674"/>
  </w:num>
  <w:num w:numId="42">
    <w:abstractNumId w:val="190675"/>
  </w:num>
  <w:num w:numId="43">
    <w:abstractNumId w:val="190676"/>
  </w:num>
  <w:num w:numId="44">
    <w:abstractNumId w:val="190677"/>
  </w:num>
  <w:num w:numId="45">
    <w:abstractNumId w:val="190678"/>
  </w:num>
  <w:num w:numId="46">
    <w:abstractNumId w:val="190679"/>
  </w:num>
  <w:num w:numId="47">
    <w:abstractNumId w:val="190680"/>
  </w:num>
  <w:num w:numId="48">
    <w:abstractNumId w:val="190681"/>
  </w:num>
  <w:num w:numId="49">
    <w:abstractNumId w:val="190682"/>
  </w:num>
  <w:num w:numId="50">
    <w:abstractNumId w:val="190683"/>
  </w:num>
  <w:num w:numId="51">
    <w:abstractNumId w:val="190684"/>
  </w:num>
  <w:num w:numId="52">
    <w:abstractNumId w:val="190685"/>
  </w:num>
  <w:num w:numId="53">
    <w:abstractNumId w:val="190686"/>
  </w:num>
  <w:num w:numId="54">
    <w:abstractNumId w:val="190687"/>
  </w:num>
  <w:num w:numId="55">
    <w:abstractNumId w:val="190688"/>
  </w:num>
  <w:num w:numId="56">
    <w:abstractNumId w:val="190689"/>
  </w:num>
  <w:num w:numId="57">
    <w:abstractNumId w:val="190690"/>
  </w:num>
  <w:num w:numId="58">
    <w:abstractNumId w:val="190691"/>
  </w:num>
  <w:num w:numId="59">
    <w:abstractNumId w:val="190692"/>
  </w:num>
  <w:num w:numId="60">
    <w:abstractNumId w:val="190693"/>
  </w:num>
  <w:num w:numId="61">
    <w:abstractNumId w:val="190694"/>
  </w:num>
  <w:num w:numId="62">
    <w:abstractNumId w:val="190695"/>
  </w:num>
  <w:num w:numId="63">
    <w:abstractNumId w:val="190696"/>
  </w:num>
  <w:num w:numId="64">
    <w:abstractNumId w:val="190697"/>
  </w:num>
  <w:num w:numId="65">
    <w:abstractNumId w:val="190698"/>
  </w:num>
  <w:num w:numId="66">
    <w:abstractNumId w:val="190699"/>
  </w:num>
  <w:num w:numId="67">
    <w:abstractNumId w:val="190700"/>
  </w:num>
  <w:num w:numId="68">
    <w:abstractNumId w:val="190701"/>
  </w:num>
  <w:num w:numId="69">
    <w:abstractNumId w:val="190702"/>
  </w:num>
  <w:num w:numId="70">
    <w:abstractNumId w:val="190703"/>
  </w:num>
  <w:num w:numId="71">
    <w:abstractNumId w:val="190704"/>
  </w:num>
  <w:num w:numId="72">
    <w:abstractNumId w:val="190705"/>
  </w:num>
  <w:num w:numId="73">
    <w:abstractNumId w:val="190706"/>
  </w:num>
  <w:num w:numId="74">
    <w:abstractNumId w:val="190707"/>
  </w:num>
  <w:num w:numId="75">
    <w:abstractNumId w:val="190708"/>
  </w:num>
  <w:num w:numId="76">
    <w:abstractNumId w:val="190709"/>
  </w:num>
  <w:num w:numId="77">
    <w:abstractNumId w:val="190710"/>
  </w:num>
  <w:num w:numId="78">
    <w:abstractNumId w:val="190711"/>
  </w:num>
  <w:num w:numId="79">
    <w:abstractNumId w:val="190712"/>
  </w:num>
  <w:num w:numId="80">
    <w:abstractNumId w:val="190713"/>
  </w:num>
  <w:num w:numId="81">
    <w:abstractNumId w:val="190714"/>
  </w:num>
  <w:num w:numId="82">
    <w:abstractNumId w:val="190715"/>
  </w:num>
  <w:num w:numId="83">
    <w:abstractNumId w:val="190716"/>
  </w:num>
  <w:num w:numId="84">
    <w:abstractNumId w:val="190717"/>
  </w:num>
  <w:num w:numId="85">
    <w:abstractNumId w:val="190718"/>
  </w:num>
  <w:num w:numId="86">
    <w:abstractNumId w:val="190719"/>
  </w:num>
  <w:num w:numId="87">
    <w:abstractNumId w:val="190720"/>
  </w:num>
  <w:num w:numId="88">
    <w:abstractNumId w:val="190721"/>
  </w:num>
  <w:num w:numId="89">
    <w:abstractNumId w:val="190722"/>
  </w:num>
  <w:num w:numId="90">
    <w:abstractNumId w:val="190723"/>
  </w:num>
  <w:num w:numId="91">
    <w:abstractNumId w:val="190724"/>
  </w:num>
  <w:num w:numId="92">
    <w:abstractNumId w:val="190725"/>
  </w:num>
  <w:num w:numId="93">
    <w:abstractNumId w:val="190726"/>
  </w:num>
  <w:num w:numId="94">
    <w:abstractNumId w:val="190727"/>
  </w:num>
  <w:num w:numId="95">
    <w:abstractNumId w:val="190728"/>
  </w:num>
  <w:num w:numId="96">
    <w:abstractNumId w:val="190729"/>
  </w:num>
  <w:num w:numId="97">
    <w:abstractNumId w:val="190730"/>
  </w:num>
  <w:num w:numId="98">
    <w:abstractNumId w:val="190731"/>
  </w:num>
  <w:num w:numId="99">
    <w:abstractNumId w:val="190732"/>
  </w:num>
  <w:num w:numId="100">
    <w:abstractNumId w:val="190733"/>
  </w:num>
  <w:num w:numId="101">
    <w:abstractNumId w:val="190734"/>
  </w:num>
  <w:num w:numId="102">
    <w:abstractNumId w:val="190735"/>
  </w:num>
  <w:num w:numId="103">
    <w:abstractNumId w:val="190736"/>
  </w:num>
  <w:num w:numId="104">
    <w:abstractNumId w:val="19073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jpeg" Type="http://schemas.openxmlformats.org/officeDocument/2006/relationships/image"/><Relationship Id="rId11" Target="https://vzyjg03bu3.feishu.cn/wiki/LOzPw9wHtiLVEKkg0VicC1NynFc" TargetMode="External" Type="http://schemas.openxmlformats.org/officeDocument/2006/relationships/hyperlink"/><Relationship Id="rId12" Target="media/image7.jpeg" Type="http://schemas.openxmlformats.org/officeDocument/2006/relationships/image"/><Relationship Id="rId13" Target="media/image8.jpeg" Type="http://schemas.openxmlformats.org/officeDocument/2006/relationships/image"/><Relationship Id="rId14" Target="media/image9.jpeg" Type="http://schemas.openxmlformats.org/officeDocument/2006/relationships/image"/><Relationship Id="rId15" Target="media/image10.jpeg" Type="http://schemas.openxmlformats.org/officeDocument/2006/relationships/image"/><Relationship Id="rId16"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media/image5.jpeg" Type="http://schemas.openxmlformats.org/officeDocument/2006/relationships/image"/></Relationships>
</file>

<file path=word/_rels/header1.xml.rels><?xml version="1.0" encoding="UTF-8" standalone="yes"?><Relationships xmlns="http://schemas.openxmlformats.org/package/2006/relationships"><Relationship Id="rId1" Target="media/image1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2025-12-02T13:37:15Z</dcterms:created>
  <dc:creator>Apache POI</dc:creator>
</cp:coreProperties>
</file>