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Федеральное государственное бюджетное образовательное учреждение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высшего образования Министерства здравоохранения Российской Федерации</w:t>
      </w:r>
      <w:r>
        <w:br/>
      </w: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ФГБОУ ВО СибГМУ Минздрава России</w:t>
      </w:r>
    </w:p>
    <w:p>
      <w:pPr>
        <w:spacing w:before="60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ОЦЕНОЧНЫЙ ЧЕК-ЛИСТ</w:t>
      </w:r>
    </w:p>
    <w:p>
      <w:pPr>
        <w:spacing w:before="0" w:after="160" w:line="240" w:lineRule="auto"/>
        <w:jc w:val="center"/>
      </w:pPr>
      <w:r>
        <w:rPr>
          <w:rFonts w:ascii="Montserrat" w:cs="Montserrat" w:eastAsia="Montserrat" w:hAnsi="Montserrat"/>
          <w:b/>
          <w:bCs/>
          <w:i w:val="false"/>
          <w:iCs w:val="false"/>
          <w:sz w:val="22"/>
          <w:szCs w:val="22"/>
        </w:rPr>
        <w:t xml:space="preserve">Внутривузовской олимпиады по хирургии имени профессора А.П. Кошеля</w:t>
      </w:r>
    </w:p>
    <w:p>
      <w:pPr>
        <w:spacing w:before="0" w:after="160" w:line="240" w:lineRule="auto"/>
        <w:jc w:val="both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Конкурс: «Реконструктивно-пластическая хирургия. Первый этап»</w:t>
      </w:r>
    </w:p>
    <w:p>
      <w:pPr>
        <w:tabs>
          <w:tab w:val="right" w:pos="10206"/>
        </w:tabs>
        <w:spacing w:before="0" w:after="20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Дата заполнения: _______________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Номер препарата: _______________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8"/>
        <w:gridCol w:w="2516"/>
        <w:gridCol w:w="1258"/>
        <w:gridCol w:w="3136"/>
        <w:gridCol w:w="2658"/>
      </w:tblGrid>
      <w:tr>
        <w:trPr>
          <w:cantSplit/>
        </w:trPr>
        <w:tc>
          <w:tcPr>
            <w:tcW w:type="dxa" w:w="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251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Описание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Оценка жюри</w:t>
            </w: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Общие критерии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Выживаемость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Наиболее вероятная выживаемость соска;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 аргументированных сомнениях судей в выживаемости соска команда получает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0 баллов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за критерий 1, а критерии 2, 3 и 4 аннулируются;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Эстетичность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Равномерные промежутки между стежками, отсутствие «гармошек», стягиваний и других деформаций, точное соблюдение техники операции;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Равномерные промежутки между стежками, неравномерное затягивание узлов, отсутствие «гармошек», стягиваний, деформация краёв, 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Неравномерные промежутки между стежками, неравномерное затягивание узлов, наличие «гармошек», стягиваний и других деформаций, несоблюдение техники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При значительном отклонении диаметра соска от планируемого (менее 0,5 или более 1,2 см) </w:t>
            </w: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отнимается 3 балла из общей суммы</w:t>
            </w: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Точность сопоставления краёв раны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Точная адаптация одноимённых краёв раны;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Смещение этажности (сопоставление и сшивание разных слоёв) на одном участке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Смещение этажности (сопоставление и сшивание разных слоёв) на нескольких участках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Полное несоответствие краёв кожи и ПЖК на всём участке ушиваемой раны;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/ полостей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в ПЖК и на коже;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Отсутствие «карманов» только в ПЖК;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Наличие видимых «карманов»;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Слаженность работы бригады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Правильная подача инструментов, слаженное взаимодействие между членами бригады;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Грубые нарушения при работе, влияющие на ход операции;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Время выполнения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30 минут;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35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Более 35 минут;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10206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/>
                <w:iCs/>
                <w:sz w:val="20"/>
                <w:szCs w:val="20"/>
              </w:rPr>
              <w:t xml:space="preserve">Теория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516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Теоретическая подготовка</w:t>
            </w:r>
          </w:p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1–⁠3 балла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анатомии и физиологии молочной железы;</w:t>
            </w:r>
          </w:p>
        </w:tc>
        <w:tc>
          <w:tcPr>
            <w:tcW w:type="dxa" w:w="2658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638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2516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балл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Знание техники и хода оперативного вмешательства;</w:t>
            </w:r>
          </w:p>
        </w:tc>
        <w:tc>
          <w:tcPr>
            <w:tcW w:type="dxa" w:w="2658"/>
            <w:vMerge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  <w:tr>
        <w:trPr>
          <w:cantSplit/>
        </w:trPr>
        <w:tc>
          <w:tcPr>
            <w:tcW w:type="dxa" w:w="4412"/>
            <w:gridSpan w:val="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Максимальное количество баллов</w:t>
            </w:r>
          </w:p>
        </w:tc>
        <w:tc>
          <w:tcPr>
            <w:tcW w:type="dxa" w:w="31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Montserrat" w:cs="Montserrat" w:eastAsia="Montserrat" w:hAnsi="Montserrat"/>
                <w:b/>
                <w:bCs/>
                <w:i w:val="false"/>
                <w:iCs w:val="false"/>
                <w:sz w:val="20"/>
                <w:szCs w:val="20"/>
              </w:rPr>
              <w:t xml:space="preserve">22 балла</w:t>
            </w:r>
          </w:p>
        </w:tc>
        <w:tc>
          <w:tcPr>
            <w:tcW w:type="dxa" w:w="26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 w:lineRule="auto"/>
              <w:jc w:val="center"/>
            </w:pPr>
          </w:p>
        </w:tc>
      </w:tr>
    </w:tbl>
    <w:p>
      <w:pPr>
        <w:keepNext/>
        <w:tabs>
          <w:tab w:val="left" w:leader="underscore" w:pos="6215"/>
          <w:tab w:val="right" w:leader="underscore" w:pos="10206"/>
        </w:tabs>
        <w:spacing w:before="60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left" w:leader="underscore" w:pos="6215"/>
          <w:tab w:val="right" w:leader="underscore" w:pos="10206"/>
        </w:tabs>
        <w:spacing w:before="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члена жюри </w:t>
      </w:r>
      <w:r>
        <w:tab/>
      </w: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   </w:t>
      </w:r>
      <w:r>
        <w:tab/>
      </w:r>
    </w:p>
    <w:p>
      <w:pPr>
        <w:keepNext/>
        <w:tabs>
          <w:tab w:val="right" w:leader="underscore" w:pos="10206"/>
        </w:tabs>
        <w:spacing w:before="720" w:after="48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Название команды </w:t>
      </w:r>
      <w:r>
        <w:tab/>
      </w:r>
    </w:p>
    <w:p>
      <w:pPr>
        <w:tabs>
          <w:tab w:val="right" w:leader="underscore" w:pos="10206"/>
        </w:tabs>
        <w:spacing w:before="0" w:after="0" w:line="240" w:lineRule="auto"/>
        <w:jc w:val="left"/>
      </w:pPr>
      <w:r>
        <w:rPr>
          <w:rFonts w:ascii="Montserrat" w:cs="Montserrat" w:eastAsia="Montserrat" w:hAnsi="Montserrat"/>
          <w:b w:val="false"/>
          <w:bCs w:val="false"/>
          <w:i w:val="false"/>
          <w:iCs w:val="false"/>
          <w:sz w:val="22"/>
          <w:szCs w:val="22"/>
        </w:rPr>
        <w:t xml:space="preserve">Подпись представителя Оргкомитета </w:t>
      </w:r>
      <w:r>
        <w:tab/>
      </w:r>
    </w:p>
    <w:sectPr>
      <w:headerReference w:type="default" r:id="rId21"/>
      <w:pgSz w:w="11906" w:h="16838" w:orient="portrait"/>
      <w:pgMar w:top="850" w:right="850" w:bottom="1134" w:left="850" w:header="0" w:footer="567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ontserrat">
    <w:family w:val="auto"/>
    <w:pitch w:val="variable"/>
    <w:sig w:usb0="E0002AFF" w:usb1="C000247B" w:usb2="00000009" w:usb3="00000000" w:csb0="000001FF" w:csb1="00000000"/>
    <w:embedRegular r:id="rId1" w:fontKey="{AE565899-D637-CE50-5BEC-5DE44036DF60}"/>
    <w:embedBold r:id="rIdBold" w:fontKey="{2146ECAD-912B-467C-B8DD-6DD2620C91D4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40" w:lineRule="auto"/>
    </w:pPr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background" descr="Оформление страницы" title="Фон страницы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"/>
      <w:lvlJc w:val="left"/>
      <w:pPr>
        <w:ind w:left="360" w:hanging="360"/>
      </w:pPr>
      <w:rPr>
        <w:rFonts w:ascii="Symbol" w:cs="Symbol" w:eastAsia="Symbol" w:hAnsi="Symbol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"/>
      <w:lvlJc w:val="left"/>
      <w:pPr>
        <w:ind w:left="360" w:hanging="360"/>
      </w:pPr>
      <w:rPr>
        <w:rFonts w:ascii="Wingdings" w:cs="Wingdings" w:eastAsia="Wingdings" w:hAnsi="Wingdings"/>
        <w:sz w:val="24"/>
        <w:szCs w:val="24"/>
      </w:rPr>
    </w:lvl>
    <w:lvl w:ilvl="1" w15:tentative="1">
      <w:start w:val="1"/>
      <w:numFmt w:val="bullet"/>
      <w:lvlText w:val=""/>
      <w:lvlJc w:val="left"/>
      <w:pPr>
        <w:ind w:left="788" w:hanging="360"/>
      </w:pPr>
      <w:rPr>
        <w:rFonts w:ascii="Symbol" w:cs="Symbol" w:eastAsia="Symbol" w:hAnsi="Symbol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8"/>
        <w:szCs w:val="28"/>
        <w:lang w:val="ru-RU"/>
      </w:rPr>
    </w:rPrDefault>
    <w:pPrDefault>
      <w:pPr>
        <w:spacing w:after="16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1" Type="http://schemas.openxmlformats.org/officeDocument/2006/relationships/header" Target="header8.xml"/><Relationship Id="rId9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Bold" Type="http://schemas.openxmlformats.org/officeDocument/2006/relationships/font" Target="fonts/fontBold.odttf"/></Relationships>
</file>

<file path=word/_rels/footnotes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><Relationship Id="rId0" Type="http://schemas.openxmlformats.org/officeDocument/2006/relationships/image" Target="media/3242a608116404e976c3ac37f27b91be54aeeb0a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Оценочный чек-лист — «Реконструктивно-пластическая хирургия. Первый этап»</dc:title>
  <dc:creator>Хирургия без границ</dc:creator>
  <cp:lastModifiedBy>Un-named</cp:lastModifiedBy>
  <cp:revision>1</cp:revision>
  <dcterms:created xsi:type="dcterms:W3CDTF">2026-10-06T19:11:55.782Z</dcterms:created>
  <dcterms:modified xsi:type="dcterms:W3CDTF">2026-10-06T19:11:55.783Z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