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«Реконструктивно-пластическая хирургия. Второй этап»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Техника работы с тканями и инструментами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Аккуратная диссекция, минимальная травматизация тканей, правильное использование инструментов;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техники диссекции, выраженная травматизация тканей, нарушения в технике использования инструментария;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Качество реконструкции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3–⁠5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Симметрия, форма, устойчивость конструкции, соответствие анатомическим принципам строения носа;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Нарушена симметрия, но конструкция устойчивая;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Нарушение симметрии, неустойчивая конструкция;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Использование графтов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Грамотное применение графтов, оригинальность и обоснованность решений;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Неадекватное применение графтов или их отсутствие;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Эстетический и функциональный результат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Эстетически приемлемый внешний вид, правдоподобие «носа»;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Нарушены эстетические параметры;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нарушения при работе, влияющие на ход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80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80–⁠85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85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анатомии и физиологии области носа;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техники и хода оперативного вмешательства;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23 балла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«Реконструктивно-пластическая хирургия. Второй этап»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