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Федеральное государственное бюджетное образовательное учреждение</w:t>
      </w:r>
      <w:r>
        <w:br/>
      </w: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высшего образования Министерства здравоохранения Российской Федерации</w:t>
      </w:r>
      <w:r>
        <w:br/>
      </w: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ФГБОУ ВО СибГМУ Минздрава России</w:t>
      </w:r>
    </w:p>
    <w:p>
      <w:pPr>
        <w:spacing w:before="600" w:after="16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ОЦЕНОЧНЫЙ ЧЕК-ЛИСТ</w:t>
      </w:r>
    </w:p>
    <w:p>
      <w:pPr>
        <w:spacing w:before="0" w:after="16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2"/>
          <w:szCs w:val="22"/>
        </w:rPr>
        <w:t xml:space="preserve">Внутривузовской олимпиады по хирургии имени профессора А.П. Кошеля</w:t>
      </w:r>
    </w:p>
    <w:p>
      <w:pPr>
        <w:spacing w:before="0"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Конкурс: «Оперативная гинекология»</w:t>
      </w:r>
    </w:p>
    <w:p>
      <w:pPr>
        <w:tabs>
          <w:tab w:val="right" w:pos="10206"/>
        </w:tabs>
        <w:spacing w:before="0" w:after="20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Дата заполнения: _______________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Номер препарата: _______________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8"/>
        <w:gridCol w:w="2516"/>
        <w:gridCol w:w="1258"/>
        <w:gridCol w:w="3136"/>
        <w:gridCol w:w="2658"/>
      </w:tblGrid>
      <w:tr>
        <w:trPr>
          <w:cantSplit/>
        </w:trPr>
        <w:tc>
          <w:tcPr>
            <w:tcW w:type="dxa" w:w="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2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Оценка жюри</w:t>
            </w: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sz w:val="20"/>
                <w:szCs w:val="20"/>
              </w:rPr>
              <w:t xml:space="preserve">Этапность операции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Препаровка тканей влагалища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Мобилизация выполнена в достаточном объёме;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Мобилизация минимальна, ткани плохо отслоены;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Мобилизация не выполнена;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Иссечение свищевого хода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Свищевой ход иссечён полностью в пределах здоровых тканей;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Иссечение выполнено, но не радикально или с повреждением окружающих тканей;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Свищевой ход не иссечён;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Пластика стенки прямой кишки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Швы наложены на подслизистый/мышечный слой без проникновения в просвет, ряд герметичен и не вызывает стеноза просвета;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Ушивание выполнено, но с техническими погрешностями (проникновение в просвет, большие промежутки);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Шов негерметичен;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Этап не выполнен;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Пластика фиброзно-мышечного слоя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Фиброзно-мышечный слой ушит надёжно, полностью покрывает первый ряд швов, натяжение отсутствует;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Слой ушит, но покрытие неполное или есть умеренное натяжение;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Шов наложен некачественно, слой не сформирован;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Этап пропущен;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Пластика слизистой влагалища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Слизистая ушита аккуратно непрерывным или узловым швом, избыток иссечён, линия шва ровная, без натяжения;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Ушивание выполнено, но с дефектами (складки, неровные края);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Этап не выполнен;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sz w:val="20"/>
                <w:szCs w:val="20"/>
              </w:rPr>
              <w:t xml:space="preserve">Общие критерии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Аккуратность работы с тканями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Повреждений нет либо есть незначительное повреждение, не влияющее на результат;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Множественные мелкие повреждения;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Грубое повреждение, создание нового дефекта;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Правильная работа с инструментарием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Соблюдение принципов аккуратной, безопасной и эффективной работы с инструментами;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Нарушение безопасности работы, приводящее к травматизации органов и тканей;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Слаженность работы членов операционной бригады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Соблюдение критерия;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Нескоординированное взаимодействие между членами бригады, приводящее к нарушениям в выполнении оперативной техники;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Стерильность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Участники работают в хирургических шапочках, костюмах, масках и перчатках; инструменты и шовный материал не поднимаются с пола во время конкурса;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Критерий не соблюдён;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Время выполнения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Команда уложилась в 45 минут;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Команда уложилась в 50 минут;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Более 50 минут;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10206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/>
                <w:iCs/>
                <w:sz w:val="20"/>
                <w:szCs w:val="20"/>
              </w:rPr>
              <w:t xml:space="preserve">Теория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516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Теоретические вопросы</w:t>
            </w:r>
          </w:p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балла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Правильные ответы на 2 вопроса;</w:t>
            </w:r>
          </w:p>
        </w:tc>
        <w:tc>
          <w:tcPr>
            <w:tcW w:type="dxa" w:w="265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балл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Правильный ответ на 1 вопрос;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38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16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2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Нет правильных ответов;</w:t>
            </w:r>
          </w:p>
        </w:tc>
        <w:tc>
          <w:tcPr>
            <w:tcW w:type="dxa" w:w="2658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4412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Максимальное количество баллов</w:t>
            </w:r>
          </w:p>
        </w:tc>
        <w:tc>
          <w:tcPr>
            <w:tcW w:type="dxa" w:w="3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0"/>
                <w:szCs w:val="20"/>
              </w:rPr>
              <w:t xml:space="preserve">21 балл</w:t>
            </w:r>
          </w:p>
        </w:tc>
        <w:tc>
          <w:tcPr>
            <w:tcW w:type="dxa" w:w="26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</w:p>
        </w:tc>
      </w:tr>
    </w:tbl>
    <w:p>
      <w:pPr>
        <w:keepNext/>
        <w:tabs>
          <w:tab w:val="left" w:leader="underscore" w:pos="6215"/>
          <w:tab w:val="right" w:leader="underscore" w:pos="10206"/>
        </w:tabs>
        <w:spacing w:before="60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left" w:leader="underscore" w:pos="6215"/>
          <w:tab w:val="right" w:leader="underscore" w:pos="10206"/>
        </w:tabs>
        <w:spacing w:before="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члена жюри </w:t>
      </w:r>
      <w:r>
        <w:tab/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   </w:t>
      </w:r>
      <w:r>
        <w:tab/>
      </w:r>
    </w:p>
    <w:p>
      <w:pPr>
        <w:keepNext/>
        <w:tabs>
          <w:tab w:val="right" w:leader="underscore" w:pos="10206"/>
        </w:tabs>
        <w:spacing w:before="720" w:after="48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Название команды </w:t>
      </w:r>
      <w:r>
        <w:tab/>
      </w:r>
    </w:p>
    <w:p>
      <w:pPr>
        <w:tabs>
          <w:tab w:val="right" w:leader="underscore" w:pos="10206"/>
        </w:tabs>
        <w:spacing w:before="0" w:after="0" w:line="240" w:lineRule="auto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2"/>
          <w:szCs w:val="22"/>
        </w:rPr>
        <w:t xml:space="preserve">Подпись представителя Оргкомитета </w:t>
      </w:r>
      <w:r>
        <w:tab/>
      </w:r>
    </w:p>
    <w:sectPr>
      <w:headerReference w:type="default" r:id="rId21"/>
      <w:pgSz w:w="11906" w:h="16838" w:orient="portrait"/>
      <w:pgMar w:top="850" w:right="850" w:bottom="1134" w:left="850" w:header="0" w:footer="567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family w:val="auto"/>
    <w:pitch w:val="variable"/>
    <w:sig w:usb0="E0002AFF" w:usb1="C000247B" w:usb2="00000009" w:usb3="00000000" w:csb0="000001FF" w:csb1="00000000"/>
    <w:embedRegular r:id="rId1" w:fontKey="{AE565899-D637-CE50-5BEC-5DE44036DF60}"/>
    <w:embedBold r:id="rIdBold" w:fontKey="{2146ECAD-912B-467C-B8DD-6DD2620C91D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 w:lineRule="auto"/>
    </w:pPr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background" descr="Оформление страницы" title="Фон страниц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36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"/>
      <w:lvlJc w:val="left"/>
      <w:pPr>
        <w:ind w:left="360" w:hanging="360"/>
      </w:pPr>
      <w:rPr>
        <w:rFonts w:ascii="Wingdings" w:cs="Wingdings" w:eastAsia="Wingdings" w:hAnsi="Wingdings"/>
        <w:sz w:val="24"/>
        <w:szCs w:val="24"/>
      </w:rPr>
    </w:lvl>
    <w:lvl w:ilvl="1" w15:tentative="1">
      <w:start w:val="1"/>
      <w:numFmt w:val="bullet"/>
      <w:lvlText w:val=""/>
      <w:lvlJc w:val="left"/>
      <w:pPr>
        <w:ind w:left="788" w:hanging="360"/>
      </w:pPr>
      <w:rPr>
        <w:rFonts w:ascii="Symbol" w:cs="Symbol" w:eastAsia="Symbol" w:hAnsi="Symbo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8"/>
        <w:szCs w:val="28"/>
        <w:lang w:val="ru-RU"/>
      </w:rPr>
    </w:rPrDefault>
    <w:pPrDefault>
      <w:pPr>
        <w:spacing w:after="1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1" Type="http://schemas.openxmlformats.org/officeDocument/2006/relationships/header" Target="header8.xml"/><Relationship Id="rId9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Bold" Type="http://schemas.openxmlformats.org/officeDocument/2006/relationships/font" Target="fonts/fontBold.odttf"/></Relationships>
</file>

<file path=word/_rels/footnotes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><Relationship Id="rId0" Type="http://schemas.openxmlformats.org/officeDocument/2006/relationships/image" Target="media/3242a608116404e976c3ac37f27b91be54aeeb0a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Оценочный чек-лист — «Оперативная гинекология»</dc:title>
  <dc:creator>Хирургия без границ</dc:creator>
  <cp:lastModifiedBy>Un-named</cp:lastModifiedBy>
  <cp:revision>1</cp:revision>
  <dcterms:created xsi:type="dcterms:W3CDTF">2026-10-06T19:11:55.782Z</dcterms:created>
  <dcterms:modified xsi:type="dcterms:W3CDTF">2026-10-06T19:11:55.783Z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