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«Реконструктивно-пластическая хирургия. Второй этап»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Техника работы с тканями и инструментами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Качество реконструкции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3–⁠5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Нарушена симметрия, но конструкция устойчивая;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Нарушение симметрии, неустойчивая конструкция;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Использование графтов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Грамотное применение графтов, оригинальность и обоснованность решений;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Неадекватное применение графтов или их отсутствие;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Эстетический и функциональный результат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Эстетически приемлемый внешний вид, правдоподобие «носа»;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Нарушены эстетические параметры;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нарушения при работе, влияющие на ход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80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80–⁠85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Более 85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Теоретическая подготовка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Знание анатомии и физиологии области носа;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Знание техники и хода оперативного вмешательства;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23 балла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«Реконструктивно-пластическая хирургия. Второй этап»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