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8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 w:line="240" w:lineRule="auto"/>
        <w:jc w:val="center"/>
      </w:pPr>
      <w:r>
        <w:rPr>
          <w:rFonts w:ascii="Montserrat" w:cs="Montserrat" w:eastAsia="Montserrat" w:hAnsi="Montserrat"/>
          <w:b/>
          <w:bCs/>
          <w:i w:val="false"/>
          <w:iCs w:val="false"/>
          <w:sz w:val="22"/>
          <w:szCs w:val="22"/>
        </w:rPr>
        <w:t xml:space="preserve">Федеральное государственное бюджетное образовательное учреждение</w:t>
      </w:r>
      <w:r>
        <w:br/>
      </w:r>
      <w:r>
        <w:rPr>
          <w:rFonts w:ascii="Montserrat" w:cs="Montserrat" w:eastAsia="Montserrat" w:hAnsi="Montserrat"/>
          <w:b/>
          <w:bCs/>
          <w:i w:val="false"/>
          <w:iCs w:val="false"/>
          <w:sz w:val="22"/>
          <w:szCs w:val="22"/>
        </w:rPr>
        <w:t xml:space="preserve">высшего образования Министерства здравоохранения Российской Федерации</w:t>
      </w:r>
      <w:r>
        <w:br/>
      </w:r>
      <w:r>
        <w:rPr>
          <w:rFonts w:ascii="Montserrat" w:cs="Montserrat" w:eastAsia="Montserrat" w:hAnsi="Montserrat"/>
          <w:b/>
          <w:bCs/>
          <w:i w:val="false"/>
          <w:iCs w:val="false"/>
          <w:sz w:val="22"/>
          <w:szCs w:val="22"/>
        </w:rPr>
        <w:t xml:space="preserve">ФГБОУ ВО СибГМУ Минздрава России</w:t>
      </w:r>
    </w:p>
    <w:p>
      <w:pPr>
        <w:spacing w:before="600" w:after="160" w:line="240" w:lineRule="auto"/>
        <w:jc w:val="center"/>
      </w:pPr>
      <w:r>
        <w:rPr>
          <w:rFonts w:ascii="Montserrat" w:cs="Montserrat" w:eastAsia="Montserrat" w:hAnsi="Montserrat"/>
          <w:b/>
          <w:bCs/>
          <w:i w:val="false"/>
          <w:iCs w:val="false"/>
          <w:sz w:val="22"/>
          <w:szCs w:val="22"/>
        </w:rPr>
        <w:t xml:space="preserve">ОЦЕНОЧНЫЙ ЧЕК-ЛИСТ</w:t>
      </w:r>
    </w:p>
    <w:p>
      <w:pPr>
        <w:spacing w:before="0" w:after="160" w:line="240" w:lineRule="auto"/>
        <w:jc w:val="center"/>
      </w:pPr>
      <w:r>
        <w:rPr>
          <w:rFonts w:ascii="Montserrat" w:cs="Montserrat" w:eastAsia="Montserrat" w:hAnsi="Montserrat"/>
          <w:b/>
          <w:bCs/>
          <w:i w:val="false"/>
          <w:iCs w:val="false"/>
          <w:sz w:val="22"/>
          <w:szCs w:val="22"/>
        </w:rPr>
        <w:t xml:space="preserve">Внутривузовской олимпиады по хирургии имени профессора А.П. Кошеля</w:t>
      </w:r>
    </w:p>
    <w:p>
      <w:pPr>
        <w:spacing w:before="0"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Конкурс: «Сегментарная резекция толстой кишки с формированием анастомоза конец в конец на экспериментальном животном»</w:t>
      </w:r>
    </w:p>
    <w:p>
      <w:pPr>
        <w:tabs>
          <w:tab w:val="right" w:pos="10206"/>
        </w:tabs>
        <w:spacing w:before="0" w:after="20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Дата заполнения: _______________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Номер препарата: _______________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38"/>
        <w:gridCol w:w="2516"/>
        <w:gridCol w:w="1258"/>
        <w:gridCol w:w="3136"/>
        <w:gridCol w:w="2658"/>
      </w:tblGrid>
      <w:tr>
        <w:trPr>
          <w:cantSplit/>
        </w:trPr>
        <w:tc>
          <w:tcPr>
            <w:tcW w:type="dxa" w:w="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№</w:t>
            </w:r>
          </w:p>
        </w:tc>
        <w:tc>
          <w:tcPr>
            <w:tcW w:type="dxa" w:w="2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Оценка жюри</w:t>
            </w:r>
          </w:p>
        </w:tc>
      </w:tr>
      <w:tr>
        <w:trPr>
          <w:cantSplit/>
        </w:trPr>
        <w:tc>
          <w:tcPr>
            <w:tcW w:type="dxa" w:w="10206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/>
                <w:iCs/>
                <w:sz w:val="20"/>
                <w:szCs w:val="20"/>
              </w:rPr>
              <w:t xml:space="preserve">Общие критерии</w:t>
            </w:r>
          </w:p>
        </w:tc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Постановка местной инфильтрационной анестезии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Местная инфильтрационная анестезия в ходе оперативного вмешательства выполнена правильно и обеспечила эффективное обезболивание животного;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Местная инфильтрационная анестезия в ходе оперативного вмешательства была недостаточной, повлекшей выраженное беспокойство животного;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Местная инфильтрационная анестезия в ходе оперативного вмешательства выполнена с небольшими нарушениями, вызвавшими возникновение осложнений (гематома мягких тканей брюшной стенки, брюшной полости, брыжейки);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Местная инфильтрационная анестезия в ходе оперативного вмешательства выполнена с грубыми нарушениями техники;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Соблюдение принципов асептики и антисептики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Соблюдены принципы асептики и антисептики;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Незначительные нарушения принципов асептики и антисептики (падение инструментов, касание нестерильной части операционного халата, маски и др.);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Существенные нарушения принципов асептики и антисептики (попадание значительного количества кишечного содержимого в брюшную полость и др.);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Оценка срединной лапаротомии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Кожа рассечена ровно по средней линии, апоневроз по белой линии;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Несоблюдение одного из параметров (кожа рассечена неровно, либо во время рассечения апоневроза произошло отклонение от белой линии и др.);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Несоблюдение двух и более двух параметров;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Оценка резекционного этапа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Выполнена аккуратная мобилизация, а также резекция участка толстой кишки длиной ≥4 см;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Несоблюдение одного из условий (выполнена небрежная мобилизация либо резекция, в ходе которой произошло кровотечение или истечение кишечного содержимого, либо резецированный участок &lt;4 см);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Несоблюдение двух и более двух условий;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Оценка реконструктивного этапа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Технически правильно наложенный анастомоз, диаметр его не более чем на ¼ меньше диаметра толстой кишки, анастомоз проходим для ногтевой фаланги хирурга, снаружи швы практически не видны, окно в брыжейке ушито;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Несоблюдение одного из условий наложения соустья;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Несоблюдение двух условий наложения соустья;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Стеноз анастомоза (более 50% суживает просвет кишки, не пропускает фалангу), а также грубые нарушения техники наложения соустья;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Ушивание операционной раны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Ушита послойно, швы наложены симметрично;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Имеются любые недостатки в технике ушивания;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Правильность работы с инструментами, техника работы с тканями, соблюдение правил асептики и антисептики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Соблюдение всех критериев;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Несоблюдение одного из критериев;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Несоблюдение двух критериев;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Грубые нарушения критериев работы бригады;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Регламент времени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Команда уложилась в регламент времени;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– 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За каждые 10 минут сверх установленного времени;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4412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Максимальное количество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38 баллов</w:t>
            </w:r>
          </w:p>
        </w:tc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</w:tbl>
    <w:p>
      <w:pPr>
        <w:keepNext/>
        <w:tabs>
          <w:tab w:val="left" w:leader="underscore" w:pos="6215"/>
          <w:tab w:val="right" w:leader="underscore" w:pos="10206"/>
        </w:tabs>
        <w:spacing w:before="60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члена жюри 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tab/>
      </w:r>
    </w:p>
    <w:p>
      <w:pPr>
        <w:keepNext/>
        <w:tabs>
          <w:tab w:val="left" w:leader="underscore" w:pos="6215"/>
          <w:tab w:val="right" w:leader="underscore" w:pos="10206"/>
        </w:tabs>
        <w:spacing w:before="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члена жюри 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tab/>
      </w:r>
    </w:p>
    <w:p>
      <w:pPr>
        <w:keepNext/>
        <w:tabs>
          <w:tab w:val="left" w:leader="underscore" w:pos="6215"/>
          <w:tab w:val="right" w:leader="underscore" w:pos="10206"/>
        </w:tabs>
        <w:spacing w:before="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члена жюри 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tab/>
      </w:r>
    </w:p>
    <w:p>
      <w:pPr>
        <w:keepNext/>
        <w:tabs>
          <w:tab w:val="left" w:leader="underscore" w:pos="6215"/>
          <w:tab w:val="right" w:leader="underscore" w:pos="10206"/>
        </w:tabs>
        <w:spacing w:before="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члена жюри 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tab/>
      </w:r>
    </w:p>
    <w:p>
      <w:pPr>
        <w:keepNext/>
        <w:tabs>
          <w:tab w:val="left" w:leader="underscore" w:pos="6215"/>
          <w:tab w:val="right" w:leader="underscore" w:pos="10206"/>
        </w:tabs>
        <w:spacing w:before="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члена жюри 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tab/>
      </w:r>
    </w:p>
    <w:p>
      <w:pPr>
        <w:keepNext/>
        <w:tabs>
          <w:tab w:val="right" w:leader="underscore" w:pos="10206"/>
        </w:tabs>
        <w:spacing w:before="72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Название команды </w:t>
      </w:r>
      <w:r>
        <w:tab/>
      </w:r>
    </w:p>
    <w:p>
      <w:pPr>
        <w:tabs>
          <w:tab w:val="right" w:leader="underscore" w:pos="10206"/>
        </w:tabs>
        <w:spacing w:before="0" w:after="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представителя Оргкомитета </w:t>
      </w:r>
      <w:r>
        <w:tab/>
      </w:r>
    </w:p>
    <w:sectPr>
      <w:headerReference w:type="default" r:id="rId21"/>
      <w:pgSz w:w="11906" w:h="16838" w:orient="portrait"/>
      <w:pgMar w:top="850" w:right="850" w:bottom="1134" w:left="850" w:header="0" w:footer="567" w:gutter="0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">
    <w:family w:val="auto"/>
    <w:pitch w:val="variable"/>
    <w:sig w:usb0="E0002AFF" w:usb1="C000247B" w:usb2="00000009" w:usb3="00000000" w:csb0="000001FF" w:csb1="00000000"/>
    <w:embedRegular r:id="rId1" w:fontKey="{AE565899-D637-CE50-5BEC-5DE44036DF60}"/>
    <w:embedBold r:id="rIdBold" w:fontKey="{2146ECAD-912B-467C-B8DD-6DD2620C91D4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40" w:lineRule="auto"/>
    </w:pPr>
    <w:r>
      <w:drawing>
        <wp:anchor distT="0" distB="0" distL="0" distR="0" simplePos="0" allowOverlap="1" behindDoc="1" locked="0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background" descr="Оформление страницы" title="Фон страницы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"/>
      <w:lvlJc w:val="left"/>
      <w:pPr>
        <w:ind w:left="360" w:hanging="360"/>
      </w:pPr>
      <w:rPr>
        <w:rFonts w:ascii="Symbol" w:cs="Symbol" w:eastAsia="Symbol" w:hAnsi="Symbo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"/>
      <w:lvlJc w:val="left"/>
      <w:pPr>
        <w:ind w:left="360" w:hanging="360"/>
      </w:pPr>
      <w:rPr>
        <w:rFonts w:ascii="Wingdings" w:cs="Wingdings" w:eastAsia="Wingdings" w:hAnsi="Wingdings"/>
        <w:sz w:val="24"/>
        <w:szCs w:val="24"/>
      </w:rPr>
    </w:lvl>
    <w:lvl w:ilvl="1" w15:tentative="1">
      <w:start w:val="1"/>
      <w:numFmt w:val="bullet"/>
      <w:lvlText w:val=""/>
      <w:lvlJc w:val="left"/>
      <w:pPr>
        <w:ind w:left="788" w:hanging="360"/>
      </w:pPr>
      <w:rPr>
        <w:rFonts w:ascii="Symbol" w:cs="Symbol" w:eastAsia="Symbol" w:hAnsi="Symbol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sz w:val="28"/>
        <w:szCs w:val="28"/>
        <w:lang w:val="ru-RU"/>
      </w:rPr>
    </w:rPrDefault>
    <w:pPrDefault>
      <w:pPr>
        <w:spacing w:after="1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1" Type="http://schemas.openxmlformats.org/officeDocument/2006/relationships/header" Target="header8.xml"/><Relationship Id="rId9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Bold" Type="http://schemas.openxmlformats.org/officeDocument/2006/relationships/font" Target="fonts/fontBold.odttf"/></Relationships>
</file>

<file path=word/_rels/footnotes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><Relationship Id="rId0" Type="http://schemas.openxmlformats.org/officeDocument/2006/relationships/image" Target="media/3242a608116404e976c3ac37f27b91be54aeeb0a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Оценочный чек-лист — «Сегментарная резекция толстой кишки с формированием анастомоза конец в конец на экспериментальном животном»</dc:title>
  <dc:creator>Хирургия без границ</dc:creator>
  <cp:lastModifiedBy>Un-named</cp:lastModifiedBy>
  <cp:revision>1</cp:revision>
  <dcterms:created xsi:type="dcterms:W3CDTF">2026-10-06T19:11:55.782Z</dcterms:created>
  <dcterms:modified xsi:type="dcterms:W3CDTF">2026-10-06T19:11:55.783Z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