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8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 w:line="240" w:lineRule="auto"/>
        <w:jc w:val="center"/>
      </w:pPr>
      <w:r>
        <w:rPr>
          <w:rFonts w:ascii="Montserrat" w:cs="Montserrat" w:eastAsia="Montserrat" w:hAnsi="Montserrat"/>
          <w:b/>
          <w:bCs/>
          <w:i w:val="false"/>
          <w:iCs w:val="false"/>
          <w:sz w:val="22"/>
          <w:szCs w:val="22"/>
        </w:rPr>
        <w:t xml:space="preserve">Федеральное государственное бюджетное образовательное учреждение</w:t>
      </w:r>
      <w:r>
        <w:br/>
      </w:r>
      <w:r>
        <w:rPr>
          <w:rFonts w:ascii="Montserrat" w:cs="Montserrat" w:eastAsia="Montserrat" w:hAnsi="Montserrat"/>
          <w:b/>
          <w:bCs/>
          <w:i w:val="false"/>
          <w:iCs w:val="false"/>
          <w:sz w:val="22"/>
          <w:szCs w:val="22"/>
        </w:rPr>
        <w:t xml:space="preserve">высшего образования Министерства здравоохранения Российской Федерации</w:t>
      </w:r>
      <w:r>
        <w:br/>
      </w:r>
      <w:r>
        <w:rPr>
          <w:rFonts w:ascii="Montserrat" w:cs="Montserrat" w:eastAsia="Montserrat" w:hAnsi="Montserrat"/>
          <w:b/>
          <w:bCs/>
          <w:i w:val="false"/>
          <w:iCs w:val="false"/>
          <w:sz w:val="22"/>
          <w:szCs w:val="22"/>
        </w:rPr>
        <w:t xml:space="preserve">ФГБОУ ВО СибГМУ Минздрава России</w:t>
      </w:r>
    </w:p>
    <w:p>
      <w:pPr>
        <w:spacing w:before="600" w:after="160" w:line="240" w:lineRule="auto"/>
        <w:jc w:val="center"/>
      </w:pPr>
      <w:r>
        <w:rPr>
          <w:rFonts w:ascii="Montserrat" w:cs="Montserrat" w:eastAsia="Montserrat" w:hAnsi="Montserrat"/>
          <w:b/>
          <w:bCs/>
          <w:i w:val="false"/>
          <w:iCs w:val="false"/>
          <w:sz w:val="22"/>
          <w:szCs w:val="22"/>
        </w:rPr>
        <w:t xml:space="preserve">ОЦЕНОЧНЫЙ ЧЕК-ЛИСТ</w:t>
      </w:r>
    </w:p>
    <w:p>
      <w:pPr>
        <w:spacing w:before="0" w:after="160" w:line="240" w:lineRule="auto"/>
        <w:jc w:val="center"/>
      </w:pPr>
      <w:r>
        <w:rPr>
          <w:rFonts w:ascii="Montserrat" w:cs="Montserrat" w:eastAsia="Montserrat" w:hAnsi="Montserrat"/>
          <w:b/>
          <w:bCs/>
          <w:i w:val="false"/>
          <w:iCs w:val="false"/>
          <w:sz w:val="22"/>
          <w:szCs w:val="22"/>
        </w:rPr>
        <w:t xml:space="preserve">Внутривузовской олимпиады по хирургии имени профессора А.П. Кошеля</w:t>
      </w:r>
    </w:p>
    <w:p>
      <w:pPr>
        <w:spacing w:before="0"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Конкурс: «Сосудистый шов»</w:t>
      </w:r>
    </w:p>
    <w:p>
      <w:pPr>
        <w:tabs>
          <w:tab w:val="right" w:pos="10206"/>
        </w:tabs>
        <w:spacing w:before="0" w:after="200" w:line="240" w:lineRule="auto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Дата заполнения: _______________</w:t>
      </w:r>
      <w:r>
        <w:tab/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Номер препарата: _______________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38"/>
        <w:gridCol w:w="2516"/>
        <w:gridCol w:w="1258"/>
        <w:gridCol w:w="3136"/>
        <w:gridCol w:w="2658"/>
      </w:tblGrid>
      <w:tr>
        <w:trPr>
          <w:cantSplit/>
        </w:trPr>
        <w:tc>
          <w:tcPr>
            <w:tcW w:type="dxa" w:w="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0"/>
                <w:szCs w:val="20"/>
              </w:rPr>
              <w:t xml:space="preserve">№</w:t>
            </w:r>
          </w:p>
        </w:tc>
        <w:tc>
          <w:tcPr>
            <w:tcW w:type="dxa" w:w="25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0"/>
                <w:szCs w:val="20"/>
              </w:rPr>
              <w:t xml:space="preserve">Оценка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26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0"/>
                <w:szCs w:val="20"/>
              </w:rPr>
              <w:t xml:space="preserve">Оценка жюри</w:t>
            </w:r>
          </w:p>
        </w:tc>
      </w:tr>
      <w:tr>
        <w:trPr>
          <w:cantSplit/>
        </w:trPr>
        <w:tc>
          <w:tcPr>
            <w:tcW w:type="dxa" w:w="10206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/>
                <w:iCs/>
                <w:sz w:val="20"/>
                <w:szCs w:val="20"/>
              </w:rPr>
              <w:t xml:space="preserve">Общие критерии</w:t>
            </w:r>
          </w:p>
        </w:tc>
        <w:tc>
          <w:tcPr>
            <w:tcW w:type="dxa" w:w="26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</w:p>
        </w:tc>
      </w:tr>
      <w:tr>
        <w:trPr>
          <w:cantSplit/>
          <w:trHeight w:val="1747" w:hRule="atLeast"/>
        </w:trPr>
        <w:tc>
          <w:tcPr>
            <w:tcW w:type="dxa" w:w="63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516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Слаженность работы бригады, соблюдение асептики и антисептики правильность работы с инструментами, техника работы с тканями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 балла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Соблюдение критерия;</w:t>
            </w:r>
          </w:p>
        </w:tc>
        <w:tc>
          <w:tcPr>
            <w:tcW w:type="dxa" w:w="265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  <w:trHeight w:val="1747" w:hRule="atLeast"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Несоблюдение критерия;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516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Время выполнения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 балла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Команда уложилась до 80 минут;</w:t>
            </w:r>
          </w:p>
        </w:tc>
        <w:tc>
          <w:tcPr>
            <w:tcW w:type="dxa" w:w="265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 балла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Команда уложилась до 90 минут;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балл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Команда уложилась до 100 минут;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Остановка конкурсного задания при превышении лимита времени (100 минут и более);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10206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/>
                <w:iCs/>
                <w:sz w:val="20"/>
                <w:szCs w:val="20"/>
              </w:rPr>
              <w:t xml:space="preserve">Дистальный анастомоз «конец-в-конец» между сосудистым протезом и аортой</w:t>
            </w:r>
          </w:p>
        </w:tc>
        <w:tc>
          <w:tcPr>
            <w:tcW w:type="dxa" w:w="26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</w:p>
        </w:tc>
      </w:tr>
      <w:tr>
        <w:trPr>
          <w:cantSplit/>
          <w:trHeight w:val="4859" w:hRule="atLeast"/>
        </w:trPr>
        <w:tc>
          <w:tcPr>
            <w:tcW w:type="dxa" w:w="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5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Эстетичность сформированного анастомоза: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• равномерно наложенные стежки;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• отсутствие перекрестов нитей;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• отсутствие провисания нитей;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• отсутствие прорезывания нитей.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+ 1 балл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За каждый соблюденный критерий </w:t>
            </w: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0"/>
                <w:szCs w:val="20"/>
              </w:rPr>
              <w:t xml:space="preserve">(от 0 до 4 баллов)</w:t>
            </w: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;</w:t>
            </w:r>
          </w:p>
        </w:tc>
        <w:tc>
          <w:tcPr>
            <w:tcW w:type="dxa" w:w="26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516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Герметичность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 балла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Отсутствие струйного и диффузного истекания жидкости из линии анастомоза;</w:t>
            </w:r>
          </w:p>
        </w:tc>
        <w:tc>
          <w:tcPr>
            <w:tcW w:type="dxa" w:w="265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 балла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Диффузное просачивание из всей линии анастомоза;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Струйное истекание из анастомоза;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516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Технические ошибки при наложении анастомоза (прорезывание нитей, попадание соединительной или жировой ткани в анастомоз)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 балла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Замечаний нет;</w:t>
            </w:r>
          </w:p>
        </w:tc>
        <w:tc>
          <w:tcPr>
            <w:tcW w:type="dxa" w:w="265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 балла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Нет грубых нарушений, незначительные технические ошибки;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Грубые технические ошибки, из-за которых значительно увеличится риск постоперационных осложнений;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10206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/>
                <w:iCs/>
                <w:sz w:val="20"/>
                <w:szCs w:val="20"/>
              </w:rPr>
              <w:t xml:space="preserve">Проксимальный анастомоз «конец-в-конец» между сосудистым протезом и аортой</w:t>
            </w:r>
          </w:p>
        </w:tc>
        <w:tc>
          <w:tcPr>
            <w:tcW w:type="dxa" w:w="26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</w:p>
        </w:tc>
      </w:tr>
      <w:tr>
        <w:trPr>
          <w:cantSplit/>
          <w:trHeight w:val="4859" w:hRule="atLeast"/>
        </w:trPr>
        <w:tc>
          <w:tcPr>
            <w:tcW w:type="dxa" w:w="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5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Эстетичность сформированного анастомоза: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• равномерно наложенные стежки;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• отсутствие перекрестов нитей;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• отсутствие провисания нитей;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• отсутствие прорезывания нитей.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+ 1 балл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За каждый соблюденный критерий </w:t>
            </w: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0"/>
                <w:szCs w:val="20"/>
              </w:rPr>
              <w:t xml:space="preserve">(от 0 до 4 баллов)</w:t>
            </w: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;</w:t>
            </w:r>
          </w:p>
        </w:tc>
        <w:tc>
          <w:tcPr>
            <w:tcW w:type="dxa" w:w="26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516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Герметичность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 балла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Отсутствие струйного и диффузного истекания жидкости из линии анастомоза;</w:t>
            </w:r>
          </w:p>
        </w:tc>
        <w:tc>
          <w:tcPr>
            <w:tcW w:type="dxa" w:w="265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 балла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Диффузное просачивание из всей линии анастомоза;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Струйное истекание из анастомоза;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516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Технические ошибки при наложении анастомоза (прорезывание нитей, попадание соединительной или жировой ткани в анастомоз)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 балла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Замечаний нет;</w:t>
            </w:r>
          </w:p>
        </w:tc>
        <w:tc>
          <w:tcPr>
            <w:tcW w:type="dxa" w:w="265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 балла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Нет грубых нарушений, незначительные технические ошибки;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Грубые технические ошибки, из-за которых значительно увеличится риск постоперационных осложнений;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10206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/>
                <w:iCs/>
                <w:sz w:val="20"/>
                <w:szCs w:val="20"/>
              </w:rPr>
              <w:t xml:space="preserve">Анастомозы «конец-в-бок» между аутовеной и протезом</w:t>
            </w:r>
          </w:p>
        </w:tc>
        <w:tc>
          <w:tcPr>
            <w:tcW w:type="dxa" w:w="26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</w:p>
        </w:tc>
      </w:tr>
      <w:tr>
        <w:trPr>
          <w:cantSplit/>
          <w:trHeight w:val="4859" w:hRule="atLeast"/>
        </w:trPr>
        <w:tc>
          <w:tcPr>
            <w:tcW w:type="dxa" w:w="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5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Эстетичность сформированного анастомоза: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• равномерно наложенные стежки;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• отсутствие перекрестов нитей;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• отсутствие провисания нитей;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• отсутствие прорезывания нитей.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+ 1 балл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За каждый соблюденный критерий </w:t>
            </w: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0"/>
                <w:szCs w:val="20"/>
              </w:rPr>
              <w:t xml:space="preserve">(от 0 до 4 баллов)</w:t>
            </w: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;</w:t>
            </w:r>
          </w:p>
        </w:tc>
        <w:tc>
          <w:tcPr>
            <w:tcW w:type="dxa" w:w="26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516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Герметичность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 балла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Отсутствие струйного и диффузного истекания жидкости из линии анастомоза;</w:t>
            </w:r>
          </w:p>
        </w:tc>
        <w:tc>
          <w:tcPr>
            <w:tcW w:type="dxa" w:w="265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 балла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Диффузное просачивание из всей линии анастомоза;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Струйное истекание из анастомоза;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516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Технические ошибки при наложении анастомоза (прорезывание нитей, попадание соединительной или жировой ткани в анастомоз)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 балла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Замечаний нет;</w:t>
            </w:r>
          </w:p>
        </w:tc>
        <w:tc>
          <w:tcPr>
            <w:tcW w:type="dxa" w:w="265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 балла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Нет грубых нарушений, незначительные технические ошибки;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Грубые технические ошибки, из-за которых значительно увеличится риск постоперационных осложнений;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10206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/>
                <w:iCs/>
                <w:sz w:val="20"/>
                <w:szCs w:val="20"/>
              </w:rPr>
              <w:t xml:space="preserve">Теория</w:t>
            </w:r>
          </w:p>
        </w:tc>
        <w:tc>
          <w:tcPr>
            <w:tcW w:type="dxa" w:w="26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516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Теоретические вопросы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 балла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 правильных ответа;</w:t>
            </w:r>
          </w:p>
        </w:tc>
        <w:tc>
          <w:tcPr>
            <w:tcW w:type="dxa" w:w="265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 балла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 правильных ответа;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балл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правильный ответ;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Команда не дала правильных ответов;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4412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0"/>
                <w:szCs w:val="20"/>
              </w:rPr>
              <w:t xml:space="preserve">Максимальное количество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0"/>
                <w:szCs w:val="20"/>
              </w:rPr>
              <w:t xml:space="preserve">39 баллов</w:t>
            </w:r>
          </w:p>
        </w:tc>
        <w:tc>
          <w:tcPr>
            <w:tcW w:type="dxa" w:w="26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</w:tbl>
    <w:p>
      <w:pPr>
        <w:keepNext/>
        <w:tabs>
          <w:tab w:val="left" w:leader="underscore" w:pos="6215"/>
          <w:tab w:val="right" w:leader="underscore" w:pos="10206"/>
        </w:tabs>
        <w:spacing w:before="600" w:after="480" w:line="240" w:lineRule="auto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Подпись члена жюри </w:t>
      </w:r>
      <w:r>
        <w:tab/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   </w:t>
      </w:r>
      <w:r>
        <w:tab/>
      </w:r>
    </w:p>
    <w:p>
      <w:pPr>
        <w:keepNext/>
        <w:tabs>
          <w:tab w:val="left" w:leader="underscore" w:pos="6215"/>
          <w:tab w:val="right" w:leader="underscore" w:pos="10206"/>
        </w:tabs>
        <w:spacing w:before="0" w:after="480" w:line="240" w:lineRule="auto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Подпись члена жюри </w:t>
      </w:r>
      <w:r>
        <w:tab/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   </w:t>
      </w:r>
      <w:r>
        <w:tab/>
      </w:r>
    </w:p>
    <w:p>
      <w:pPr>
        <w:keepNext/>
        <w:tabs>
          <w:tab w:val="left" w:leader="underscore" w:pos="6215"/>
          <w:tab w:val="right" w:leader="underscore" w:pos="10206"/>
        </w:tabs>
        <w:spacing w:before="0" w:after="480" w:line="240" w:lineRule="auto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Подпись члена жюри </w:t>
      </w:r>
      <w:r>
        <w:tab/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   </w:t>
      </w:r>
      <w:r>
        <w:tab/>
      </w:r>
    </w:p>
    <w:p>
      <w:pPr>
        <w:keepNext/>
        <w:tabs>
          <w:tab w:val="left" w:leader="underscore" w:pos="6215"/>
          <w:tab w:val="right" w:leader="underscore" w:pos="10206"/>
        </w:tabs>
        <w:spacing w:before="0" w:after="480" w:line="240" w:lineRule="auto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Подпись члена жюри </w:t>
      </w:r>
      <w:r>
        <w:tab/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   </w:t>
      </w:r>
      <w:r>
        <w:tab/>
      </w:r>
    </w:p>
    <w:p>
      <w:pPr>
        <w:keepNext/>
        <w:tabs>
          <w:tab w:val="left" w:leader="underscore" w:pos="6215"/>
          <w:tab w:val="right" w:leader="underscore" w:pos="10206"/>
        </w:tabs>
        <w:spacing w:before="0" w:after="480" w:line="240" w:lineRule="auto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Подпись члена жюри </w:t>
      </w:r>
      <w:r>
        <w:tab/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   </w:t>
      </w:r>
      <w:r>
        <w:tab/>
      </w:r>
    </w:p>
    <w:p>
      <w:pPr>
        <w:keepNext/>
        <w:tabs>
          <w:tab w:val="right" w:leader="underscore" w:pos="10206"/>
        </w:tabs>
        <w:spacing w:before="720" w:after="480" w:line="240" w:lineRule="auto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Название команды </w:t>
      </w:r>
      <w:r>
        <w:tab/>
      </w:r>
    </w:p>
    <w:p>
      <w:pPr>
        <w:tabs>
          <w:tab w:val="right" w:leader="underscore" w:pos="10206"/>
        </w:tabs>
        <w:spacing w:before="0" w:after="0" w:line="240" w:lineRule="auto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Подпись представителя Оргкомитета </w:t>
      </w:r>
      <w:r>
        <w:tab/>
      </w:r>
    </w:p>
    <w:sectPr>
      <w:headerReference w:type="default" r:id="rId21"/>
      <w:pgSz w:w="11906" w:h="16838" w:orient="portrait"/>
      <w:pgMar w:top="850" w:right="850" w:bottom="1134" w:left="850" w:header="0" w:footer="567" w:gutter="0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ontserrat">
    <w:family w:val="auto"/>
    <w:pitch w:val="variable"/>
    <w:sig w:usb0="E0002AFF" w:usb1="C000247B" w:usb2="00000009" w:usb3="00000000" w:csb0="000001FF" w:csb1="00000000"/>
    <w:embedRegular r:id="rId1" w:fontKey="{AE565899-D637-CE50-5BEC-5DE44036DF60}"/>
    <w:embedBold r:id="rIdBold" w:fontKey="{2146ECAD-912B-467C-B8DD-6DD2620C91D4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line="240" w:lineRule="auto"/>
    </w:pPr>
    <w:r>
      <w:drawing>
        <wp:anchor distT="0" distB="0" distL="0" distR="0" simplePos="0" allowOverlap="1" behindDoc="1" locked="0" layoutInCell="1" relativeHeight="1069657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10696575"/>
          <wp:effectExtent t="0" r="0" b="0" l="0"/>
          <wp:wrapNone/>
          <wp:docPr id="1" name="background" descr="Оформление страницы" title="Фон страницы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069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"/>
      <w:lvlJc w:val="left"/>
      <w:pPr>
        <w:ind w:left="360" w:hanging="360"/>
      </w:pPr>
      <w:rPr>
        <w:rFonts w:ascii="Symbol" w:cs="Symbol" w:eastAsia="Symbol" w:hAnsi="Symbol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"/>
      <w:lvlJc w:val="left"/>
      <w:pPr>
        <w:ind w:left="360" w:hanging="360"/>
      </w:pPr>
      <w:rPr>
        <w:rFonts w:ascii="Wingdings" w:cs="Wingdings" w:eastAsia="Wingdings" w:hAnsi="Wingdings"/>
        <w:sz w:val="24"/>
        <w:szCs w:val="24"/>
      </w:rPr>
    </w:lvl>
    <w:lvl w:ilvl="1" w15:tentative="1">
      <w:start w:val="1"/>
      <w:numFmt w:val="bullet"/>
      <w:lvlText w:val=""/>
      <w:lvlJc w:val="left"/>
      <w:pPr>
        <w:ind w:left="788" w:hanging="360"/>
      </w:pPr>
      <w:rPr>
        <w:rFonts w:ascii="Symbol" w:cs="Symbol" w:eastAsia="Symbol" w:hAnsi="Symbol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ontserrat" w:cs="Montserrat" w:eastAsia="Montserrat" w:hAnsi="Montserrat"/>
        <w:sz w:val="28"/>
        <w:szCs w:val="28"/>
        <w:lang w:val="ru-RU"/>
      </w:rPr>
    </w:rPrDefault>
    <w:pPrDefault>
      <w:pPr>
        <w:spacing w:after="16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21" Type="http://schemas.openxmlformats.org/officeDocument/2006/relationships/header" Target="header8.xml"/><Relationship Id="rId9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Relationship Id="rIdBold" Type="http://schemas.openxmlformats.org/officeDocument/2006/relationships/font" Target="fonts/fontBold.odttf"/></Relationships>
</file>

<file path=word/_rels/footnotes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><Relationship Id="rId0" Type="http://schemas.openxmlformats.org/officeDocument/2006/relationships/image" Target="media/3242a608116404e976c3ac37f27b91be54aeeb0a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Оценочный чек-лист — «Сосудистый шов»</dc:title>
  <dc:creator>Хирургия без границ</dc:creator>
  <cp:lastModifiedBy>Un-named</cp:lastModifiedBy>
  <cp:revision>1</cp:revision>
  <dcterms:created xsi:type="dcterms:W3CDTF">2026-10-06T19:11:55.782Z</dcterms:created>
  <dcterms:modified xsi:type="dcterms:W3CDTF">2026-10-06T19:11:55.783Z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