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Федеральное государственное бюджетное образовательное учреждение</w:t>
      </w:r>
      <w:r>
        <w:br/>
      </w: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высшего образования Министерства здравоохранения Российской Федерации</w:t>
      </w:r>
      <w:r>
        <w:br/>
      </w: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ФГБОУ ВО СибГМУ Минздрава России</w:t>
      </w:r>
    </w:p>
    <w:p>
      <w:pPr>
        <w:spacing w:before="600" w:after="16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ОЦЕНОЧНЫЙ ЧЕК-ЛИСТ</w:t>
      </w:r>
    </w:p>
    <w:p>
      <w:pPr>
        <w:spacing w:before="0" w:after="16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Внутривузовской олимпиады по хирургии имени профессора А.П. Кошеля</w:t>
      </w:r>
    </w:p>
    <w:p>
      <w:pPr>
        <w:spacing w:before="0"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Конкурс: «Оперативная урология»</w:t>
      </w:r>
    </w:p>
    <w:p>
      <w:pPr>
        <w:tabs>
          <w:tab w:val="right" w:pos="10206"/>
        </w:tabs>
        <w:spacing w:before="0" w:after="20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Дата заполнения: _______________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Номер препарата: _______________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8"/>
        <w:gridCol w:w="2516"/>
        <w:gridCol w:w="1258"/>
        <w:gridCol w:w="3136"/>
        <w:gridCol w:w="2658"/>
      </w:tblGrid>
      <w:tr>
        <w:trPr>
          <w:cantSplit/>
        </w:trPr>
        <w:tc>
          <w:tcPr>
            <w:tcW w:type="dxa" w:w="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2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Оценка жюри</w:t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sz w:val="20"/>
                <w:szCs w:val="20"/>
              </w:rPr>
              <w:t xml:space="preserve">Общие критерии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Подготовка зоны операции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Стенка мочевого пузыря и мочеточник выделены полностью;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Имеются замечания по одному из этапов подготовки;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Подготовка выполнена не в полном объеме;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Эстетичность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Одинаковые промежутки между стежками, равномерное затягивание стежков, равное направление стежков;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Различные промежутки между стежками, одинаковое направление стежков, неравномерное затягивание;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Различные промежутки между стежками, разное направление стежков, неравномерное затягивание стежков;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Герметичность уретеро</w:t>
              <w:softHyphen/>
              <w:t xml:space="preserve">цисто</w:t>
              <w:softHyphen/>
              <w:t xml:space="preserve">анастомоза (проверяется путем введения катетера в просвет резервуара через уретру и нагнетания стандартного объема воды (150 мл) шприцом Жане под давлением)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Герметичный анастомоз (нет подтекания и просачивания жидкости);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Капельное просачивание жидкости;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Отсутствие герметичности линии шва (струйное, диффузное подтекание из линии шва);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Герметичность шва мочевого пузыря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Герметичный шов (нет подтекания и просачивания жидкости);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Капельное просачивание жидкости;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Отсутствие герметичности линии шва;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Отсутствие стенозирования просвета анастомоза (проверяется после завершения конкурса при помощи введения мочеточникового катетера) – после удаления установленных ранее катетеров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Достаточная проходимость анастомоза (жидкость из мочеточника вытекает струйно, не задерживается);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Незначительное сужение просвета (жидкость из мочеточника вытекает частыми каплями);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Значительное сужение просвета (жидкость из мочеточника вытекает редкими каплями);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Полная непроходимость мочеточника (жидкость не вытекает из мочеточника);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894" w:hRule="atLeast"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Использование антирефлюксной методики имплантации мочеточника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Отсутствие рефлюкса;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894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Наличие рефлюкса;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Время выполнения конкурса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 45 минут;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 50 минут;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 60 минут;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Более 60 минут (остановка конкурса свыше 70 минут);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1747" w:hRule="atLeast"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Слаженность работы бригады, соблюдение асептики и антисептики правильность работы с инструментами, техника работы с тканями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Соблюдение критерия;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1747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Несоблюдение критерия;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Фиксация лоскута к имитации m. psoas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Полная фиксация, эстетичность и функциональность швов;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Частичное прорезывание швов, число фиксирующих узлов/стежков менее трёх;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Отсутствие фиксации;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Соответствие размеров и расположения лоскута условиям конкурса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Полное соответствие;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Малый размер лоскута, неправильное расположение лоскута;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sz w:val="20"/>
                <w:szCs w:val="20"/>
              </w:rPr>
              <w:t xml:space="preserve">Теория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Теоретическая подготовка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Все ответы верные;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Допущены ошибки;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Все ответы неправильные;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4412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Максимальное количество баллов за конкурс (без учета бонусных баллов за время)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26 баллов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keepNext/>
        <w:tabs>
          <w:tab w:val="left" w:leader="underscore" w:pos="6215"/>
          <w:tab w:val="right" w:leader="underscore" w:pos="10206"/>
        </w:tabs>
        <w:spacing w:before="60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right" w:leader="underscore" w:pos="10206"/>
        </w:tabs>
        <w:spacing w:before="72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Название команды </w:t>
      </w:r>
      <w:r>
        <w:tab/>
      </w:r>
    </w:p>
    <w:p>
      <w:pPr>
        <w:tabs>
          <w:tab w:val="right" w:leader="underscore" w:pos="10206"/>
        </w:tabs>
        <w:spacing w:before="0" w:after="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представителя Оргкомитета </w:t>
      </w:r>
      <w:r>
        <w:tab/>
      </w:r>
    </w:p>
    <w:sectPr>
      <w:headerReference w:type="default" r:id="rId21"/>
      <w:pgSz w:w="11906" w:h="16838" w:orient="portrait"/>
      <w:pgMar w:top="850" w:right="850" w:bottom="1134" w:left="850" w:header="0" w:footer="567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family w:val="auto"/>
    <w:pitch w:val="variable"/>
    <w:sig w:usb0="E0002AFF" w:usb1="C000247B" w:usb2="00000009" w:usb3="00000000" w:csb0="000001FF" w:csb1="00000000"/>
    <w:embedRegular r:id="rId1" w:fontKey="{AE565899-D637-CE50-5BEC-5DE44036DF60}"/>
    <w:embedBold r:id="rIdBold" w:fontKey="{2146ECAD-912B-467C-B8DD-6DD2620C91D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</w:pP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Оформление страницы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36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"/>
      <w:lvlJc w:val="left"/>
      <w:pPr>
        <w:ind w:left="360" w:hanging="360"/>
      </w:pPr>
      <w:rPr>
        <w:rFonts w:ascii="Wingdings" w:cs="Wingdings" w:eastAsia="Wingdings" w:hAnsi="Wingdings"/>
        <w:sz w:val="24"/>
        <w:szCs w:val="24"/>
      </w:rPr>
    </w:lvl>
    <w:lvl w:ilvl="1" w15:tentative="1">
      <w:start w:val="1"/>
      <w:numFmt w:val="bullet"/>
      <w:lvlText w:val=""/>
      <w:lvlJc w:val="left"/>
      <w:pPr>
        <w:ind w:left="788" w:hanging="360"/>
      </w:pPr>
      <w:rPr>
        <w:rFonts w:ascii="Symbol" w:cs="Symbol" w:eastAsia="Symbol" w:hAnsi="Symbo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8"/>
        <w:szCs w:val="28"/>
        <w:lang w:val="ru-RU"/>
      </w:rPr>
    </w:rPrDefault>
    <w:pPrDefault>
      <w:pPr>
        <w:spacing w:after="1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1" Type="http://schemas.openxmlformats.org/officeDocument/2006/relationships/header" Target="header8.xml"/><Relationship Id="rId9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Bold" Type="http://schemas.openxmlformats.org/officeDocument/2006/relationships/font" Target="fonts/fontBold.odttf"/></Relationships>
</file>

<file path=word/_rels/footnotes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><Relationship Id="rId0" Type="http://schemas.openxmlformats.org/officeDocument/2006/relationships/image" Target="media/3242a608116404e976c3ac37f27b91be54aeeb0a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Оценочный чек-лист — «Оперативная урология»</dc:title>
  <dc:creator>Хирургия без границ</dc:creator>
  <cp:lastModifiedBy>Un-named</cp:lastModifiedBy>
  <cp:revision>1</cp:revision>
  <dcterms:created xsi:type="dcterms:W3CDTF">2026-10-06T19:11:55.782Z</dcterms:created>
  <dcterms:modified xsi:type="dcterms:W3CDTF">2026-10-06T19:11:55.783Z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