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«Реконструктивно-пластическая хирургия. Второй этап»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Техника работы с тканями и инструментами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Аккуратная диссекция, минимальная травматизация тканей, правильное использование инструментов;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Нарушение техники диссекции, выраженная травматизация тканей, нарушения в технике использования инструментария;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Качество реконструкции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3–⁠5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Симметрия, форма, устойчивость конструкции, соответствие анатомическим принципам строения носа;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1–⁠2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Нарушена симметрия, но конструкция устойчивая;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Нарушение симметрии, неустойчивая конструкция;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Использование графтов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1–⁠3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Грамотное применение графтов, оригинальность и обоснованность решений;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Неадекватное применение графтов или их отсутствие;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Эстетический и функциональный результат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1–⁠5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Эстетически приемлемый внешний вид, правдоподобие «носа»;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Нарушены эстетические параметры;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нарушения при работе, влияющие на ход операции;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80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80–⁠85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Более 85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Теоретическая подготовка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1–⁠3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Знание анатомии и физиологии области носа;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Знание техники и хода оперативного вмешательства;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23 балла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«Реконструктивно-пластическая хирургия. Второй этап»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