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rFonts w:ascii="黑体" w:hAnsi="黑体" w:eastAsia="黑体"/>
          <w:b/>
          <w:sz w:val="44"/>
        </w:rPr>
        <w:t>科百特组织架构与IT架构方案</w:t>
      </w:r>
    </w:p>
    <w:p>
      <w:pPr>
        <w:spacing w:after="120"/>
        <w:ind w:firstLine="0"/>
        <w:jc w:val="center"/>
      </w:pPr>
      <w:r>
        <w:rPr>
          <w:rFonts w:ascii="仿宋" w:hAnsi="仿宋" w:eastAsia="仿宋"/>
          <w:sz w:val="32"/>
        </w:rPr>
        <w:t>——基于青云KubeSphere企业版及AI智算平台的IT架构规划</w:t>
      </w:r>
    </w:p>
    <w:p>
      <w:pPr>
        <w:spacing w:before="480"/>
        <w:ind w:firstLine="0"/>
        <w:jc w:val="right"/>
      </w:pPr>
      <w:r>
        <w:rPr>
          <w:rFonts w:ascii="仿宋" w:hAnsi="仿宋" w:eastAsia="仿宋"/>
          <w:sz w:val="24"/>
        </w:rPr>
        <w:t>文档版本：V1.0</w:t>
        <w:br/>
        <w:t>编制日期：2026年6月12日</w:t>
        <w:br/>
        <w:t>编制单位：青云科技销售部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一、公司概况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杭州科百特过滤器材有限公司（Cobetter）成立于2003年，总部位于浙江省杭州市萧山区，是一家全球领先的创新型过滤企业，专注于微孔膜技术、纳米纤维技术和超滤膜技术的开发和应用。公司由创始人张应民先生创立，采用IDM全产业链模式运营，从核心膜材料研发到滤芯制造、过滤系统设计、验证检测全链条覆盖，成功打破国外垄断，实现关键材料的国产化替代。在2025年，公司正式员工超过8100人，其中专业工程师超过3400人，研发人员占比超过40%。公司累计获得超过800项授权专利，年均研发投入占营收比例达8%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公司2024年荣获"国家制造业单项冠军"称号，验证检测中心通过CNAS认证（ISO17025），系国内过滤行业首家。公司拥有42个研究与应用中心，研发设备投入超过1.5亿元，实验室面积超过7000平方米。公司技术服务覆盖全球132个国家、超过2.8万家企业客户，国内市场方面，超过90%的大型制药企业、90%以上的微电子企业、80%以上的高端食品饮料企业选择科百特产品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二、公司组织架构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公司创始人兼首席执行官为张应民先生，核心管理团队下设研发中心、制造中心、品质中心、营销中心、信息技术部、财务/人力/行政中心六大核心部门。其中品质中心由日本质量专家原真二先生担任质量总监，导入日本精益质量管理体系（TPS），确保产品的高品质、高稳定性和高可靠性。</w:t>
      </w:r>
    </w:p>
    <w:p>
      <w:pPr>
        <w:spacing w:before="0" w:after="120"/>
        <w:ind w:firstLine="0"/>
      </w:pPr>
    </w:p>
    <w:p>
      <w:pPr>
        <w:spacing w:before="40" w:after="240"/>
        <w:ind w:firstLine="0"/>
        <w:jc w:val="center"/>
      </w:pPr>
      <w:r>
        <w:rPr>
          <w:rFonts w:ascii="仿宋" w:hAnsi="仿宋" w:eastAsia="仿宋"/>
          <w:sz w:val="20"/>
        </w:rPr>
        <w:t>图一  科百特组织架构示意图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信息技术部为数字化转型核心部门，下设基础架构组、ERP/PLM运维组、MES/CIM系统组、信息安全组、AI与大数据平台组，负责公司整体IT规划、建设和运维。公司目前正在大力推进信息化与数字化升级，涉及ERP系统优化、MES生产执行系统建设、容器化改造、AI智算平台建设等方向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公司在全球设有七大子公司和三大办事处：上海子公司、苏州子公司、台湾科百特股份有限公司、日本子公司、美国子公司、新加坡子公司、韩国子公司，以及北京、武汉、合肥三个国内办事处。主要生产基地位于杭州市萧山区河上镇、绍兴市，总部科创中心位于萧山区北干街道明星路699号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三、IT架构现状与规划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作为一家拥有超过8100名员工的全球化制造企业，科百特在信息化建设方面已取得一定进展，覆盖ERP供应链管理、PLM产品生命周期管理、MES制造执行、CIM设备自动化等核心系统。然而，随着企业规模快速扩张和全球化布局加速推进，现有IT架构仍面临以下挑战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一是多区域多工厂IT基础设施分散，缺乏统一的容器云管理平台，各生产基地系统独立部署，运维成本高、效率低。二是研发数据与生产过程数据量快速增长，AI应用场景（膜材料仿真、缺陷检测、良率分析）对算力需求迫切。三是全球化布局（七家境外子公司）对跨国网络访问、数据安全合规提出更高要求。四是信创国产化政策要求日益严格，作为国家制造业单项冠军企业，需持续推进自主可控的IT基础设施改造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（一）IT架构分层规划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基于青云KubeSphere企业版（KSE 4.2）和青云AI智算平台，为科百特规划六层IT架构体系，以青云统一底座贯通各层级。</w:t>
      </w:r>
    </w:p>
    <w:p>
      <w:pPr>
        <w:spacing w:before="0" w:after="120"/>
        <w:ind w:firstLine="0"/>
      </w:pPr>
    </w:p>
    <w:p>
      <w:pPr>
        <w:spacing w:before="40" w:after="240"/>
        <w:ind w:firstLine="0"/>
        <w:jc w:val="center"/>
      </w:pPr>
      <w:r>
        <w:rPr>
          <w:rFonts w:ascii="仿宋" w:hAnsi="仿宋" w:eastAsia="仿宋"/>
          <w:sz w:val="20"/>
        </w:rPr>
        <w:t>图二  科百特IT架构分层示意图（青云KubeSphere+AI智算平台）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第一层：硬件与网络层。涵盖x86/ARM/信创计算服务器、GPU/NPU人工智能算力集群、全闪/混闪/对象存储设备、万兆/IB高速网络，覆盖杭州、绍兴、萧山等三地数据中心。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二层：基础设施与云平台层。以青云KubeSphere企业版为容器云底座，提供多集群统一管理、全栈可观测性、DevOps自动化流水线；以青云AI智算平台提供GPU调度、训练推理、模型全生命周期管理；以青云软件定义存储提供分布式存储与备份容灾能力；全面支持信创国产化适配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第三层：生产执行与研发层。包括MES制造执行系统（工单管理、追溯、SPC统计过程控制）、CIM设备自动化系统、质量追溯与批次管理、合规化验证管理，是科百特作为高端制造企业的核心生产力层。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第四层：业务运营与管理层。包括ERP（财务/供应链/采购）、CRM客户关系管理、PLM产品生命周期管理、BI经营数据分析，实现业务端到端数字化管理。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第五层：协同办公与门户层。涵盖OA审批流程、企业信息门户、邮件与即时通讯、视频会议、HR行政系统、知识管理平台（含技术文档、验证报告等），支撑企业日常办公与协作需求。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第六层：数据安全与合规层。覆盖数据分级分类与访问控制（IAM/SSO）、统一身份认证、网络安全防护（WAF/防火墙/IPS）、国际数据跨境合规、数据备份与容灾、等保合规审计等。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四、青云KubeSphere+AI智算平台方案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（一）KubeSphere企业版核心能力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KubeSphere企业版（KSE 4.2）是青云科技打造的新一代云原生操作系统，基于KubeSphere LuBan可扩展开放架构，在Kubernetes之上深度融合多云管理、微服务治理、应用可观测等核心能力。针对科百特的实际需求，核心匹配能力包括以下几方面。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一是多集群统一管理。实现杭州、萧山、绍兴等多地集群的统一纳管与策略统一下发，消除信息孤岛，实现集团级资源管控。二是全栈可观测性。提供多维度监控告警、日志审计、链路追踪，保障生产系统SLA。三是GPU调度管理。支持GPU资源的细粒度调度与监控，满足膜材料AI仿真与缺陷检测算力需求。四是DevOps自动化。内置CI/CD流水线，加速研发与生产协同效率。五是多租户与权限管理。按业务线（研发/制造/运营）进行资源隔离与配额管理，满足多部门共享平台需求。六是高可用与容灾。支持同城双活、异地灾备，保障过滤产品生产线业务连续性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（二）青云AI智算平台能力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青云AI智算平台基于统一全栈架构打造AI算力底座，具备异构算力调度能力，可有效支撑科百特在以下典型AI场景中的应用。一是膜材料性能仿真加速，基于AI代理的过滤膜分离性能预测。二是生产缺陷检测，基于机器视觉的滤芯质量在线检测与分类。三是研发智能化，AI辅助的材料配方优化与工艺参数推荐。四是智能排产与供应链优化，基于需求预测的生产计划与物料调度。平台支持GPU、NPU混合调度，提供训练任务管理与资源配额管控，内置算法开发环境与模型管理，与KubeSphere容器平台深度集成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（三）全球化与信创支持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青云KubeSphere企业版全面支持信创国产化，已完成与鲲鹏、飞腾、海光等国产CPU及麒麟、统信等国产操作系统的适配认证。针对科百特全球化布局（七家境外子公司），青云平台可提供跨国集群统一管理、多语言界面、国际时区支持等能力，满足全球研发协同需求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五、方案价值总结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通过部署青云KubeSphere企业版及AI智算平台，可为科百特带来以下核心价值。一是实现多基地IT基础设施统一管理，降低运维复杂度与人力成本。二是构建企业级AI算力底座，加速膜材料研发与智能制造进程。三是提升生产系统可用性与可观测性，保障制造业务连续性。四是满足信创国产化合规要求，平滑推进自主可控进程。五是支撑全球化业务拓展，实现总部与七家子公司的协同运营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  <w:p>
      <w:pPr>
        <w:jc w:val="center"/>
      </w:pPr>
      <w:r>
        <w:pict>
          <v:group style="width:500pt;height:320pt" coordsize="500,320" coordorigin="0,0">
            <v:rect style="position:absolute;left:200pt;top:5pt;width:100pt;height:24pt" fillcolor="#1F4E79" strokecolor="#1F4E79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b/>
                        <w:sz w:val="14"/>
                        <w:color w:val="FFFFFF"/>
                      </w:rPr>
                      <w:t xml:space="preserve">创始人/CEO
张应民</w:t>
                    </w:r>
                  </w:p>
                </w:txbxContent>
              </v:textbox>
            </v:rect>
            <v:line from="250,29" to="250,44" strokecolor="#666666" strokeweight="1pt"/>
            <v:rect style="position:absolute;left:300pt;top:36pt;width:90pt;height:20pt" fillcolor="#FFF2CC" strokecolor="#BF8F00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2"/>
                        <w:color w:val="#000000"/>
                      </w:rPr>
                      <w:t xml:space="preserve">质量总监
原真二</w:t>
                    </w:r>
                  </w:p>
                </w:txbxContent>
              </v:textbox>
            </v:rect>
            <v:line from="250,44" to="345,48" strokecolor="#999" strokeweight="1pt"/>
            <v:rect style="position:absolute;left:190pt;top:46pt;width:120pt;height:22pt" fillcolor="#4472C4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b/>
                        <w:sz w:val="13"/>
                        <w:color w:val="FFFFFF"/>
                      </w:rPr>
                      <w:t xml:space="preserve">总经理/COO</w:t>
                    </w:r>
                  </w:p>
                </w:txbxContent>
              </v:textbox>
            </v:rect>
            <v:line from="250,68" to="250,78" strokecolor="#666666" strokeweight="1pt"/>
            <v:rect style="position:absolute;left:15pt;top:80pt;width:70pt;height:28pt" fillcolor="#D6E4F0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b/>
                        <w:sz w:val="11"/>
                        <w:color w:val="#1F4E79"/>
                      </w:rPr>
                      <w:t xml:space="preserve">研发中心</w:t>
                    </w:r>
                  </w:p>
                </w:txbxContent>
              </v:textbox>
            </v:rect>
            <v:line from="250,78" to="50,80" strokecolor="#999" strokeweight="1pt"/>
            <v:rect style="position:absolute;left:90pt;top:80pt;width:70pt;height:28pt" fillcolor="#D6E4F0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b/>
                        <w:sz w:val="11"/>
                        <w:color w:val="#1F4E79"/>
                      </w:rPr>
                      <w:t xml:space="preserve">制造中心</w:t>
                    </w:r>
                  </w:p>
                </w:txbxContent>
              </v:textbox>
            </v:rect>
            <v:line from="250,78" to="125,80" strokecolor="#999" strokeweight="1pt"/>
            <v:rect style="position:absolute;left:165pt;top:80pt;width:70pt;height:28pt" fillcolor="#D6E4F0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b/>
                        <w:sz w:val="11"/>
                        <w:color w:val="#1F4E79"/>
                      </w:rPr>
                      <w:t xml:space="preserve">品质中心</w:t>
                    </w:r>
                  </w:p>
                </w:txbxContent>
              </v:textbox>
            </v:rect>
            <v:line from="250,78" to="200,80" strokecolor="#999" strokeweight="1pt"/>
            <v:rect style="position:absolute;left:240pt;top:80pt;width:70pt;height:28pt" fillcolor="#D6E4F0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b/>
                        <w:sz w:val="11"/>
                        <w:color w:val="#1F4E79"/>
                      </w:rPr>
                      <w:t xml:space="preserve">营销中心</w:t>
                    </w:r>
                  </w:p>
                </w:txbxContent>
              </v:textbox>
            </v:rect>
            <v:line from="250,78" to="275,80" strokecolor="#999" strokeweight="1pt"/>
            <v:rect style="position:absolute;left:315pt;top:80pt;width:70pt;height:28pt" fillcolor="#D6E4F0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b/>
                        <w:sz w:val="11"/>
                        <w:color w:val="#1F4E79"/>
                      </w:rPr>
                      <w:t xml:space="preserve">信息技术部</w:t>
                    </w:r>
                  </w:p>
                </w:txbxContent>
              </v:textbox>
            </v:rect>
            <v:line from="250,78" to="350,80" strokecolor="#999" strokeweight="1pt"/>
            <v:rect style="position:absolute;left:390pt;top:80pt;width:70pt;height:28pt" fillcolor="#D6E4F0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b/>
                        <w:sz w:val="11"/>
                        <w:color w:val="#1F4E79"/>
                      </w:rPr>
                      <w:t xml:space="preserve">财务/人力/
行政中心</w:t>
                    </w:r>
                  </w:p>
                </w:txbxContent>
              </v:textbox>
            </v:rect>
            <v:line from="250,78" to="425,80" strokecolor="#999" strokeweight="1pt"/>
            <v:rect style="position:absolute;left:15pt;top:115pt;width:30pt;height:24pt" fillcolor="#FCE4EC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膜材料
研发中心</w:t>
                    </w:r>
                  </w:p>
                </w:txbxContent>
              </v:textbox>
            </v:rect>
            <v:line from="50,108" to="30,115" strokecolor="#999" strokeweight="1pt"/>
            <v:rect style="position:absolute;left:50pt;top:115pt;width:30pt;height:24pt" fillcolor="#FCE4EC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验证
检测中心</w:t>
                    </w:r>
                  </w:p>
                </w:txbxContent>
              </v:textbox>
            </v:rect>
            <v:line from="50,108" to="65,115" strokecolor="#999" strokeweight="1pt"/>
            <v:rect style="position:absolute;left:85pt;top:115pt;width:30pt;height:24pt" fillcolor="#FCE4EC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应用
技术中心</w:t>
                    </w:r>
                  </w:p>
                </w:txbxContent>
              </v:textbox>
            </v:rect>
            <v:line from="50,108" to="100,115" strokecolor="#999" strokeweight="1pt"/>
            <v:rect style="position:absolute;left:85pt;top:115pt;width:30pt;height:24pt" fillcolor="#E2EFDA" strokecolor="#548235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河上
厂区</w:t>
                    </w:r>
                  </w:p>
                </w:txbxContent>
              </v:textbox>
            </v:rect>
            <v:line from="125,108" to="100,115" strokecolor="#999" strokeweight="1pt"/>
            <v:rect style="position:absolute;left:115pt;top:115pt;width:30pt;height:24pt" fillcolor="#E2EFDA" strokecolor="#548235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萧山
科创中心</w:t>
                    </w:r>
                  </w:p>
                </w:txbxContent>
              </v:textbox>
            </v:rect>
            <v:line from="125,108" to="130,115" strokecolor="#999" strokeweight="1pt"/>
            <v:rect style="position:absolute;left:145pt;top:115pt;width:30pt;height:24pt" fillcolor="#E2EFDA" strokecolor="#548235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绍兴
生产基地</w:t>
                    </w:r>
                  </w:p>
                </w:txbxContent>
              </v:textbox>
            </v:rect>
            <v:line from="125,108" to="160,115" strokecolor="#999" strokeweight="1pt"/>
            <v:rect style="position:absolute;left:240pt;top:115pt;width:30pt;height:24pt" fillcolor="#E3F2FD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国内/海外
销售部</w:t>
                    </w:r>
                  </w:p>
                </w:txbxContent>
              </v:textbox>
            </v:rect>
            <v:line from="275,108" to="255,115" strokecolor="#999" strokeweight="1pt"/>
            <v:rect style="position:absolute;left:310pt;top:115pt;width:28pt;height:24pt" fillcolor="#E8EAF6" strokecolor="#5C6BC0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基础架构组</w:t>
                    </w:r>
                  </w:p>
                </w:txbxContent>
              </v:textbox>
            </v:rect>
            <v:line from="350,108" to="324,115" strokecolor="#999" strokeweight="1pt"/>
            <v:rect style="position:absolute;left:340pt;top:115pt;width:28pt;height:24pt" fillcolor="#E8EAF6" strokecolor="#5C6BC0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ERP/PLM
运维</w:t>
                    </w:r>
                  </w:p>
                </w:txbxContent>
              </v:textbox>
            </v:rect>
            <v:line from="350,108" to="354,115" strokecolor="#999" strokeweight="1pt"/>
            <v:rect style="position:absolute;left:370pt;top:115pt;width:28pt;height:24pt" fillcolor="#E8EAF6" strokecolor="#5C6BC0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MES/CIM
系统</w:t>
                    </w:r>
                  </w:p>
                </w:txbxContent>
              </v:textbox>
            </v:rect>
            <v:line from="350,108" to="384,115" strokecolor="#999" strokeweight="1pt"/>
            <v:rect style="position:absolute;left:400pt;top:115pt;width:28pt;height:24pt" fillcolor="#E8EAF6" strokecolor="#5C6BC0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信息安全</w:t>
                    </w:r>
                  </w:p>
                </w:txbxContent>
              </v:textbox>
            </v:rect>
            <v:line from="350,108" to="414,115" strokecolor="#999" strokeweight="1pt"/>
            <v:rect style="position:absolute;left:430pt;top:115pt;width:28pt;height:24pt" fillcolor="#E8EAF6" strokecolor="#5C6BC0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AI/大数
据平台</w:t>
                    </w:r>
                  </w:p>
                </w:txbxContent>
              </v:textbox>
            </v:rect>
            <v:line from="350,108" to="444,115" strokecolor="#999" strokeweight="1pt"/>
            <v:rect style="position:absolute;left:20pt;top:150pt;width:65pt;height:20pt" fillcolor="#E2EFDA" strokecolor="#548235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上海子公司</w:t>
                    </w:r>
                  </w:p>
                </w:txbxContent>
              </v:textbox>
            </v:rect>
            <v:rect style="position:absolute;left:90pt;top:150pt;width:65pt;height:20pt" fillcolor="#E2EFDA" strokecolor="#548235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苏州子公司</w:t>
                    </w:r>
                  </w:p>
                </w:txbxContent>
              </v:textbox>
            </v:rect>
            <v:rect style="position:absolute;left:160pt;top:150pt;width:65pt;height:20pt" fillcolor="#E2EFDA" strokecolor="#548235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台湾子公司</w:t>
                    </w:r>
                  </w:p>
                </w:txbxContent>
              </v:textbox>
            </v:rect>
            <v:rect style="position:absolute;left:235pt;top:150pt;width:65pt;height:20pt" fillcolor="#E2EFDA" strokecolor="#548235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日本子公司</w:t>
                    </w:r>
                  </w:p>
                </w:txbxContent>
              </v:textbox>
            </v:rect>
            <v:rect style="position:absolute;left:310pt;top:150pt;width:65pt;height:20pt" fillcolor="#E2EFDA" strokecolor="#548235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美国子公司</w:t>
                    </w:r>
                  </w:p>
                </w:txbxContent>
              </v:textbox>
            </v:rect>
            <v:rect style="position:absolute;left:385pt;top:150pt;width:65pt;height:20pt" fillcolor="#E2EFDA" strokecolor="#548235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新加坡/韩国</w:t>
                    </w:r>
                  </w:p>
                </w:txbxContent>
              </v:textbox>
            </v:rect>
            <v:rect style="position:absolute;left:380pt;top:150pt;width:65pt;height:20pt" fillcolor="#FFF2CC" strokecolor="#BF8F00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0"/>
                        <w:color w:val="#000000"/>
                      </w:rPr>
                      <w:t xml:space="preserve">北京/武汉/
合肥办事处</w:t>
                    </w:r>
                  </w:p>
                </w:txbxContent>
              </v:textbox>
            </v:rect>
            <v:rect style="position:absolute;left:400pt;top:2pt;width:90pt;height:18pt" fillcolor="#E2EFDA" strokecolor="#548235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9"/>
                        <w:color w:val="#548235"/>
                      </w:rPr>
                      <w:t xml:space="preserve">制造/子公司</w:t>
                    </w:r>
                  </w:p>
                </w:txbxContent>
              </v:textbox>
            </v:rect>
          </v:group>
        </w:pict>
      </w:r>
    </w:p>
    <w:p>
      <w:pPr>
        <w:jc w:val="center"/>
      </w:pPr>
      <w:r>
        <w:pict>
          <v:group style="width:500pt;height:420pt" coordsize="500,420" coordorigin="0,0">
            <v:rect style="position:absolute;left:10pt;top:48pt;width:130pt;height:48pt" fillcolor="#FCE4EC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黑体"/>
                        <w:b/>
                        <w:sz w:val="11"/>
                        <w:color w:val="#000000"/>
                      </w:rPr>
                      <w:t xml:space="preserve">一、数据安全与合规层</w:t>
                    </w:r>
                  </w:p>
                </w:txbxContent>
              </v:textbox>
            </v:rect>
            <v:rect style="position:absolute;left:145pt;top:48pt;width:310pt;height:48pt" fillcolor="#FFFFFF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1"/>
                        <w:color w:val="#333333"/>
                      </w:rPr>
                      <w:t xml:space="preserve">数据分级分类/访问控制审计 | 网络安全(WAF/IPS) | 等保合规 | 灾备/容灾</w:t>
                    </w:r>
                  </w:p>
                </w:txbxContent>
              </v:textbox>
            </v:rect>
            <v:line from="300,96" to="300,102" strokecolor="#4472C4" strokeweight="1pt"/>
            <v:rect style="position:absolute;left:10pt;top:102pt;width:130pt;height:48pt" fillcolor="#E8F5E9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黑体"/>
                        <w:b/>
                        <w:sz w:val="11"/>
                        <w:color w:val="#000000"/>
                      </w:rPr>
                      <w:t xml:space="preserve">二、协同办公与门户层</w:t>
                    </w:r>
                  </w:p>
                </w:txbxContent>
              </v:textbox>
            </v:rect>
            <v:rect style="position:absolute;left:145pt;top:102pt;width:310pt;height:48pt" fillcolor="#FFFFFF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1"/>
                        <w:color w:val="#333333"/>
                      </w:rPr>
                      <w:t xml:space="preserve">OA流程/企业门户 | 邮件/IM/视频会议 | HR行政 | 知识管理</w:t>
                    </w:r>
                  </w:p>
                </w:txbxContent>
              </v:textbox>
            </v:rect>
            <v:line from="300,150" to="300,156" strokecolor="#4472C4" strokeweight="1pt"/>
            <v:rect style="position:absolute;left:10pt;top:156pt;width:130pt;height:48pt" fillcolor="#FFF3E0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黑体"/>
                        <w:b/>
                        <w:sz w:val="11"/>
                        <w:color w:val="#000000"/>
                      </w:rPr>
                      <w:t xml:space="preserve">三、业务运营与管理层</w:t>
                    </w:r>
                  </w:p>
                </w:txbxContent>
              </v:textbox>
            </v:rect>
            <v:rect style="position:absolute;left:145pt;top:156pt;width:310pt;height:48pt" fillcolor="#FFFFFF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1"/>
                        <w:color w:val="#333333"/>
                      </w:rPr>
                      <w:t xml:space="preserve">ERP(供应链/财务) | CRM客户管理 | PLM产品生命周期 | BI分析</w:t>
                    </w:r>
                  </w:p>
                </w:txbxContent>
              </v:textbox>
            </v:rect>
            <v:line from="300,204" to="300,210" strokecolor="#4472C4" strokeweight="1pt"/>
            <v:rect style="position:absolute;left:10pt;top:210pt;width:130pt;height:48pt" fillcolor="#E3F2FD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黑体"/>
                        <w:b/>
                        <w:sz w:val="11"/>
                        <w:color w:val="#000000"/>
                      </w:rPr>
                      <w:t xml:space="preserve">四、生产执行与研发层</w:t>
                    </w:r>
                  </w:p>
                </w:txbxContent>
              </v:textbox>
            </v:rect>
            <v:rect style="position:absolute;left:145pt;top:210pt;width:310pt;height:48pt" fillcolor="#FFFFFF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1"/>
                        <w:color w:val="#333333"/>
                      </w:rPr>
                      <w:t xml:space="preserve">MES制造执行 | CIM设备自动化 | 质量追溯SPC | EDA/仿真平台</w:t>
                    </w:r>
                  </w:p>
                </w:txbxContent>
              </v:textbox>
            </v:rect>
            <v:line from="300,258" to="300,264" strokecolor="#4472C4" strokeweight="1pt"/>
            <v:rect style="position:absolute;left:10pt;top:264pt;width:130pt;height:48pt" fillcolor="#F3E5F5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黑体"/>
                        <w:b/>
                        <w:sz w:val="11"/>
                        <w:color w:val="#000000"/>
                      </w:rPr>
                      <w:t xml:space="preserve">五、基础设施与云平台层</w:t>
                    </w:r>
                  </w:p>
                </w:txbxContent>
              </v:textbox>
            </v:rect>
            <v:rect style="position:absolute;left:145pt;top:264pt;width:310pt;height:48pt" fillcolor="#FFFFFF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1"/>
                        <w:color w:val="#333333"/>
                      </w:rPr>
                      <w:t xml:space="preserve">KubeSphere多集群管理 | AI智算平台 | DevOps/GitOps | 镜像/应用市场</w:t>
                    </w:r>
                  </w:p>
                </w:txbxContent>
              </v:textbox>
            </v:rect>
            <v:line from="300,312" to="300,318" strokecolor="#4472C4" strokeweight="1pt"/>
            <v:rect style="position:absolute;left:10pt;top:318pt;width:130pt;height:48pt" fillcolor="#E0E0E0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黑体"/>
                        <w:b/>
                        <w:sz w:val="11"/>
                        <w:color w:val="#000000"/>
                      </w:rPr>
                      <w:t xml:space="preserve">六、硬件与网络层</w:t>
                    </w:r>
                  </w:p>
                </w:txbxContent>
              </v:textbox>
            </v:rect>
            <v:rect style="position:absolute;left:145pt;top:318pt;width:310pt;height:48pt" fillcolor="#FFFFFF" strokecolor="#4472C4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sz w:val="11"/>
                        <w:color w:val="#333333"/>
                      </w:rPr>
                      <w:t xml:space="preserve">x86/ARM服务器 | GPU/NPU算力 | 存储(全闪/对象) | 三地数据中心</w:t>
                    </w:r>
                  </w:p>
                </w:txbxContent>
              </v:textbox>
            </v:rect>
            <v:rect style="position:absolute;left:455pt;top:195pt;width:38pt;height:30pt" fillcolor="#FFFFFF" strokecolor="#FFFFFF" strokeweight="1pt">
              <v:textbox>
                <w:txbxContent>
                  <w:p>
                    <w:pPr>
                      <w:jc w:val="center"/>
                    </w:pPr>
                    <w:r>
                      <w:rPr>
                        <w:rFonts w:eastAsia="仿宋"/>
                        <w:b/>
                        <w:sz w:val="10"/>
                        <w:color w:val="#4472C4"/>
                      </w:rPr>
                      <w:t xml:space="preserve">统一
底座</w:t>
                    </w:r>
                  </w:p>
                </w:txbxContent>
              </v:textbox>
            </v:rect>
          </v:group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  <w:ind w:firstLine="64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