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60" w:line="600" w:lineRule="exact"/>
        <w:ind w:firstLine="0"/>
        <w:jc w:val="center"/>
      </w:pPr>
      <w:r>
        <w:rPr>
          <w:rFonts w:ascii="黑体" w:hAnsi="黑体" w:eastAsia="黑体"/>
          <w:b/>
          <w:sz w:val="44"/>
        </w:rPr>
        <w:t>士兰微组织架构与IT架构方案</w:t>
      </w:r>
    </w:p>
    <w:p>
      <w:pPr>
        <w:spacing w:before="0" w:after="0" w:line="120" w:lineRule="exact"/>
        <w:ind w:firstLine="0"/>
      </w:pPr>
      <w:r>
        <w:rPr>
          <w:sz w:val="12"/>
        </w:rPr>
      </w:r>
    </w:p>
    <w:p>
      <w:pPr>
        <w:spacing w:before="120" w:after="60" w:line="520" w:lineRule="exact"/>
        <w:ind w:firstLine="0"/>
      </w:pPr>
      <w:r>
        <w:rPr>
          <w:rFonts w:ascii="黑体" w:hAnsi="黑体" w:eastAsia="黑体"/>
          <w:b/>
          <w:sz w:val="32"/>
        </w:rPr>
        <w:t>一、公司概况</w:t>
      </w:r>
    </w:p>
    <w:p>
      <w:pPr>
        <w:spacing w:line="560" w:lineRule="exact" w:after="20"/>
        <w:ind w:firstLine="640"/>
      </w:pPr>
      <w:r>
        <w:rPr>
          <w:rFonts w:ascii="仿宋" w:hAnsi="仿宋" w:eastAsia="仿宋"/>
          <w:sz w:val="32"/>
        </w:rPr>
        <w:t>杭州士兰微电子股份有限公司（证券代码：600460）成立于1997年9月，总部位于杭州，是国内第一家在中国境内上市的集成电路芯片设计企业。公司采用IDM（设计与制造一体化）运营模式，打通了"芯片设计—芯片制造—芯片封装"全产业链。2025年度营业收入130.52亿元，同比增长16.32%。公司拥有超过800人的芯片设计研发团队和超过3600人的工艺、封装、测试技术研发队伍。</w:t>
      </w:r>
    </w:p>
    <w:p>
      <w:pPr>
        <w:spacing w:before="120" w:after="60" w:line="520" w:lineRule="exact"/>
        <w:ind w:firstLine="0"/>
      </w:pPr>
      <w:r>
        <w:rPr>
          <w:rFonts w:ascii="黑体" w:hAnsi="黑体" w:eastAsia="黑体"/>
          <w:b/>
          <w:sz w:val="32"/>
        </w:rPr>
        <w:t>二、公司组织架构</w:t>
      </w:r>
    </w:p>
    <w:p>
      <w:pPr>
        <w:spacing w:line="560" w:lineRule="exact" w:after="20"/>
        <w:ind w:firstLine="640"/>
      </w:pPr>
      <w:r>
        <w:rPr>
          <w:rFonts w:ascii="仿宋" w:hAnsi="仿宋" w:eastAsia="仿宋"/>
          <w:sz w:val="32"/>
        </w:rPr>
        <w:t>公司形成了以股东大会为最高权力机构、董事会为决策机构、总经理为执行负责人的规范治理结构。核心管理层包括：董事长陈向东、副董事长范伟宏、副董事长兼总经理郑少波。</w:t>
      </w:r>
    </w:p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850"/>
        <w:gridCol w:w="2835"/>
      </w:tblGrid>
      <w:tr>
        <w:trPr>
          <w:trHeight w:val="283"/>
        </w:trPr>
        <w:tc>
          <w:tcPr>
            <w:tcW w:type="dxa" w:w="4422"/>
            <w:shd w:fill="D6E4F0" w:val="clear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</w:tcBorders>
          </w:tcPr>
          <w:p>
            <w:pPr>
              <w:spacing w:before="40" w:after="40" w:line="280" w:lineRule="exact"/>
              <w:ind w:firstLine="0"/>
              <w:jc w:val="left"/>
            </w:pPr>
            <w:r>
              <w:rPr>
                <w:rFonts w:ascii="仿宋" w:hAnsi="仿宋" w:eastAsia="仿宋"/>
                <w:b w:val="0"/>
                <w:color w:val="1F4E79"/>
                <w:sz w:val="15"/>
              </w:rPr>
              <w:t>■ 治理层</w:t>
            </w:r>
          </w:p>
        </w:tc>
        <w:tc>
          <w:tcPr>
            <w:tcW w:type="dxa" w:w="4422"/>
            <w:shd w:fill="F2F2F2" w:val="clear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</w:tcBorders>
          </w:tcPr>
          <w:p>
            <w:pPr>
              <w:spacing w:before="40" w:after="40" w:line="280" w:lineRule="exact"/>
              <w:ind w:firstLine="0"/>
              <w:jc w:val="left"/>
            </w:pPr>
            <w:r>
              <w:rPr>
                <w:rFonts w:ascii="仿宋" w:hAnsi="仿宋" w:eastAsia="仿宋"/>
                <w:b w:val="0"/>
                <w:color w:val="666666"/>
                <w:sz w:val="15"/>
              </w:rPr>
              <w:t>■ 管理层  ■ 职能部门  ■ 制造基地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rPr>
          <w:trHeight w:val="510"/>
        </w:trPr>
        <w:tc>
          <w:tcPr>
            <w:tcW w:type="dxa" w:w="8845"/>
            <w:shd w:fill="1F4E79" w:val="clear"/>
            <w:tcBorders>
              <w:top w:val="single" w:sz="8" w:space="0" w:color="1F4E79"/>
              <w:bottom w:val="single" w:sz="8" w:space="0" w:color="1F4E79"/>
              <w:left w:val="single" w:sz="8" w:space="0" w:color="1F4E79"/>
              <w:right w:val="single" w:sz="8" w:space="0" w:color="1F4E79"/>
            </w:tcBorders>
          </w:tcPr>
          <w:p>
            <w:pPr>
              <w:spacing w:before="40" w:after="40" w:line="320" w:lineRule="exact"/>
              <w:ind w:firstLine="0"/>
              <w:jc w:val="center"/>
            </w:pPr>
            <w:r>
              <w:rPr>
                <w:rFonts w:ascii="黑体" w:hAnsi="黑体" w:eastAsia="黑体"/>
                <w:b/>
                <w:color w:val="FFFFFF"/>
                <w:sz w:val="24"/>
              </w:rPr>
              <w:t xml:space="preserve">    股东大会</w:t>
            </w:r>
          </w:p>
        </w:tc>
      </w:tr>
      <w:tr>
        <w:trPr>
          <w:trHeight w:val="510"/>
        </w:trPr>
        <w:tc>
          <w:tcPr>
            <w:tcW w:type="dxa" w:w="8845"/>
          </w:tcPr>
          <w:p/>
        </w:tc>
      </w:tr>
      <w:tr>
        <w:trPr>
          <w:trHeight w:val="510"/>
        </w:trPr>
        <w:tc>
          <w:tcPr>
            <w:tcW w:type="dxa" w:w="8845"/>
          </w:tcPr>
          <w:p/>
        </w:tc>
      </w:tr>
      <w:tr>
        <w:trPr>
          <w:trHeight w:val="510"/>
        </w:trPr>
        <w:tc>
          <w:tcPr>
            <w:tcW w:type="dxa" w:w="8845"/>
          </w:tcPr>
          <w:p/>
        </w:tc>
      </w:tr>
      <w:tr>
        <w:trPr>
          <w:trHeight w:val="510"/>
        </w:trPr>
        <w:tc>
          <w:tcPr>
            <w:tcW w:type="dxa" w:w="8845"/>
          </w:tcPr>
          <w:p/>
        </w:tc>
      </w:tr>
    </w:tbl>
    <w:p>
      <w:pPr>
        <w:spacing w:before="0" w:after="0" w:line="120" w:lineRule="exact"/>
        <w:ind w:firstLine="0"/>
      </w:pPr>
      <w:r>
        <w:rPr>
          <w:sz w:val="1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rPr>
          <w:trHeight w:val="454"/>
        </w:trPr>
        <w:tc>
          <w:tcPr>
            <w:tcW w:type="dxa" w:w="8845"/>
            <w:shd w:fill="#1F4E79" w:val="clear"/>
            <w:tcBorders>
              <w:top w:val="single" w:sz="8" w:space="0" w:color="#1F4E79"/>
              <w:bottom w:val="single" w:sz="8" w:space="0" w:color="#1F4E79"/>
              <w:left w:val="single" w:sz="8" w:space="0" w:color="#1F4E79"/>
              <w:right w:val="single" w:sz="8" w:space="0" w:color="#1F4E79"/>
            </w:tcBorders>
          </w:tcPr>
          <w:p>
            <w:pPr>
              <w:spacing w:before="40" w:after="40" w:line="320" w:lineRule="exact"/>
              <w:ind w:firstLine="0"/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股东大会</w:t>
            </w:r>
          </w:p>
        </w:tc>
      </w:tr>
    </w:tbl>
    <w:p>
      <w:pPr>
        <w:spacing w:before="0" w:after="0" w:line="120" w:lineRule="exact"/>
        <w:ind w:firstLine="0"/>
      </w:pPr>
      <w:r>
        <w:rPr>
          <w:sz w:val="1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rPr>
          <w:trHeight w:val="454"/>
        </w:trPr>
        <w:tc>
          <w:tcPr>
            <w:tcW w:type="dxa" w:w="4422"/>
            <w:shd w:fill="#2B5FA8" w:val="clear"/>
            <w:tcBorders>
              <w:top w:val="single" w:sz="8" w:space="0" w:color="#2B5FA8"/>
              <w:bottom w:val="single" w:sz="8" w:space="0" w:color="#2B5FA8"/>
              <w:left w:val="single" w:sz="8" w:space="0" w:color="#2B5FA8"/>
              <w:right w:val="single" w:sz="8" w:space="0" w:color="#2B5FA8"/>
            </w:tcBorders>
          </w:tcPr>
          <w:p>
            <w:pPr>
              <w:spacing w:before="40" w:after="40" w:line="320" w:lineRule="exact"/>
              <w:ind w:firstLine="0"/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董事会</w:t>
            </w:r>
          </w:p>
        </w:tc>
        <w:tc>
          <w:tcPr>
            <w:tcW w:type="dxa" w:w="4422"/>
            <w:shd w:fill="#2B5FA8" w:val="clear"/>
            <w:tcBorders>
              <w:top w:val="single" w:sz="8" w:space="0" w:color="#2B5FA8"/>
              <w:bottom w:val="single" w:sz="8" w:space="0" w:color="#2B5FA8"/>
              <w:left w:val="single" w:sz="8" w:space="0" w:color="#2B5FA8"/>
              <w:right w:val="single" w:sz="8" w:space="0" w:color="#2B5FA8"/>
            </w:tcBorders>
          </w:tcPr>
          <w:p>
            <w:pPr>
              <w:spacing w:before="40" w:after="40" w:line="320" w:lineRule="exact"/>
              <w:ind w:firstLine="0"/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监事会</w:t>
            </w:r>
          </w:p>
        </w:tc>
      </w:tr>
    </w:tbl>
    <w:p>
      <w:pPr>
        <w:spacing w:before="0" w:after="0" w:line="120" w:lineRule="exact"/>
        <w:ind w:firstLine="0"/>
      </w:pPr>
      <w:r>
        <w:rPr>
          <w:sz w:val="1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rPr>
          <w:trHeight w:val="454"/>
        </w:trPr>
        <w:tc>
          <w:tcPr>
            <w:tcW w:type="dxa" w:w="8845"/>
            <w:shd w:fill="#4472C4" w:val="clear"/>
            <w:tcBorders>
              <w:top w:val="single" w:sz="8" w:space="0" w:color="#4472C4"/>
              <w:bottom w:val="single" w:sz="8" w:space="0" w:color="#4472C4"/>
              <w:left w:val="single" w:sz="8" w:space="0" w:color="#4472C4"/>
              <w:right w:val="single" w:sz="8" w:space="0" w:color="#4472C4"/>
            </w:tcBorders>
          </w:tcPr>
          <w:p>
            <w:pPr>
              <w:spacing w:before="40" w:after="40" w:line="320" w:lineRule="exact"/>
              <w:ind w:firstLine="0"/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总经理</w:t>
            </w:r>
          </w:p>
        </w:tc>
      </w:tr>
    </w:tbl>
    <w:p>
      <w:pPr>
        <w:spacing w:before="0" w:after="0" w:line="120" w:lineRule="exact"/>
        <w:ind w:firstLine="0"/>
      </w:pPr>
      <w:r>
        <w:rPr>
          <w:sz w:val="1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rPr>
          <w:trHeight w:val="454"/>
        </w:trPr>
        <w:tc>
          <w:tcPr>
            <w:tcW w:type="dxa" w:w="1769"/>
            <w:shd w:fill="#D6E4F0" w:val="clear"/>
            <w:tcBorders>
              <w:top w:val="single" w:sz="8" w:space="0" w:color="#D6E4F0"/>
              <w:bottom w:val="single" w:sz="8" w:space="0" w:color="#D6E4F0"/>
              <w:left w:val="single" w:sz="8" w:space="0" w:color="#D6E4F0"/>
              <w:right w:val="single" w:sz="8" w:space="0" w:color="#D6E4F0"/>
            </w:tcBorders>
          </w:tcPr>
          <w:p>
            <w:pPr>
              <w:spacing w:before="40" w:after="40" w:line="280" w:lineRule="exact"/>
              <w:ind w:firstLine="0"/>
              <w:jc w:val="center"/>
            </w:pPr>
            <w:r>
              <w:rPr>
                <w:rFonts w:ascii="仿宋" w:hAnsi="仿宋" w:eastAsia="仿宋"/>
                <w:b/>
                <w:color w:val="1F4E79"/>
                <w:sz w:val="18"/>
              </w:rPr>
              <w:t>研发中心</w:t>
            </w:r>
          </w:p>
        </w:tc>
        <w:tc>
          <w:tcPr>
            <w:tcW w:type="dxa" w:w="1769"/>
            <w:shd w:fill="#D6E4F0" w:val="clear"/>
            <w:tcBorders>
              <w:top w:val="single" w:sz="8" w:space="0" w:color="#D6E4F0"/>
              <w:bottom w:val="single" w:sz="8" w:space="0" w:color="#D6E4F0"/>
              <w:left w:val="single" w:sz="8" w:space="0" w:color="#D6E4F0"/>
              <w:right w:val="single" w:sz="8" w:space="0" w:color="#D6E4F0"/>
            </w:tcBorders>
          </w:tcPr>
          <w:p>
            <w:pPr>
              <w:spacing w:before="40" w:after="40" w:line="280" w:lineRule="exact"/>
              <w:ind w:firstLine="0"/>
              <w:jc w:val="center"/>
            </w:pPr>
            <w:r>
              <w:rPr>
                <w:rFonts w:ascii="仿宋" w:hAnsi="仿宋" w:eastAsia="仿宋"/>
                <w:b/>
                <w:color w:val="1F4E79"/>
                <w:sz w:val="18"/>
              </w:rPr>
              <w:t>制造中心</w:t>
            </w:r>
          </w:p>
        </w:tc>
        <w:tc>
          <w:tcPr>
            <w:tcW w:type="dxa" w:w="1769"/>
            <w:shd w:fill="#D6E4F0" w:val="clear"/>
            <w:tcBorders>
              <w:top w:val="single" w:sz="8" w:space="0" w:color="#D6E4F0"/>
              <w:bottom w:val="single" w:sz="8" w:space="0" w:color="#D6E4F0"/>
              <w:left w:val="single" w:sz="8" w:space="0" w:color="#D6E4F0"/>
              <w:right w:val="single" w:sz="8" w:space="0" w:color="#D6E4F0"/>
            </w:tcBorders>
          </w:tcPr>
          <w:p>
            <w:pPr>
              <w:spacing w:before="40" w:after="40" w:line="280" w:lineRule="exact"/>
              <w:ind w:firstLine="0"/>
              <w:jc w:val="center"/>
            </w:pPr>
            <w:r>
              <w:rPr>
                <w:rFonts w:ascii="仿宋" w:hAnsi="仿宋" w:eastAsia="仿宋"/>
                <w:b/>
                <w:color w:val="1F4E79"/>
                <w:sz w:val="18"/>
              </w:rPr>
              <w:t>市场销售中心</w:t>
            </w:r>
          </w:p>
        </w:tc>
        <w:tc>
          <w:tcPr>
            <w:tcW w:type="dxa" w:w="1769"/>
            <w:shd w:fill="#D6E4F0" w:val="clear"/>
            <w:tcBorders>
              <w:top w:val="single" w:sz="8" w:space="0" w:color="#D6E4F0"/>
              <w:bottom w:val="single" w:sz="8" w:space="0" w:color="#D6E4F0"/>
              <w:left w:val="single" w:sz="8" w:space="0" w:color="#D6E4F0"/>
              <w:right w:val="single" w:sz="8" w:space="0" w:color="#D6E4F0"/>
            </w:tcBorders>
          </w:tcPr>
          <w:p>
            <w:pPr>
              <w:spacing w:before="40" w:after="40" w:line="280" w:lineRule="exact"/>
              <w:ind w:firstLine="0"/>
              <w:jc w:val="center"/>
            </w:pPr>
            <w:r>
              <w:rPr>
                <w:rFonts w:ascii="仿宋" w:hAnsi="仿宋" w:eastAsia="仿宋"/>
                <w:b/>
                <w:color w:val="1F4E79"/>
                <w:sz w:val="18"/>
              </w:rPr>
              <w:t>信息技术部（IT）</w:t>
            </w:r>
          </w:p>
        </w:tc>
        <w:tc>
          <w:tcPr>
            <w:tcW w:type="dxa" w:w="1769"/>
            <w:shd w:fill="#D6E4F0" w:val="clear"/>
            <w:tcBorders>
              <w:top w:val="single" w:sz="8" w:space="0" w:color="#D6E4F0"/>
              <w:bottom w:val="single" w:sz="8" w:space="0" w:color="#D6E4F0"/>
              <w:left w:val="single" w:sz="8" w:space="0" w:color="#D6E4F0"/>
              <w:right w:val="single" w:sz="8" w:space="0" w:color="#D6E4F0"/>
            </w:tcBorders>
          </w:tcPr>
          <w:p>
            <w:pPr>
              <w:spacing w:before="40" w:after="40" w:line="280" w:lineRule="exact"/>
              <w:ind w:firstLine="0"/>
              <w:jc w:val="center"/>
            </w:pPr>
            <w:r>
              <w:rPr>
                <w:rFonts w:ascii="仿宋" w:hAnsi="仿宋" w:eastAsia="仿宋"/>
                <w:b/>
                <w:color w:val="1F4E79"/>
                <w:sz w:val="18"/>
              </w:rPr>
              <w:t>质量与可靠性部</w:t>
            </w:r>
          </w:p>
        </w:tc>
      </w:tr>
    </w:tbl>
    <w:p>
      <w:pPr>
        <w:spacing w:before="0" w:after="0" w:line="120" w:lineRule="exact"/>
        <w:ind w:firstLine="0"/>
      </w:pPr>
      <w:r>
        <w:rPr>
          <w:sz w:val="1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rPr>
          <w:trHeight w:val="454"/>
        </w:trPr>
        <w:tc>
          <w:tcPr>
            <w:tcW w:type="dxa" w:w="2948"/>
            <w:shd w:fill="#E2EFDA" w:val="clear"/>
            <w:tcBorders>
              <w:top w:val="single" w:sz="8" w:space="0" w:color="#E2EFDA"/>
              <w:bottom w:val="single" w:sz="8" w:space="0" w:color="#E2EFDA"/>
              <w:left w:val="single" w:sz="8" w:space="0" w:color="#E2EFDA"/>
              <w:right w:val="single" w:sz="8" w:space="0" w:color="#E2EFDA"/>
            </w:tcBorders>
          </w:tcPr>
          <w:p>
            <w:pPr>
              <w:spacing w:before="40" w:after="40" w:line="280" w:lineRule="exact"/>
              <w:ind w:firstLine="0"/>
              <w:jc w:val="center"/>
            </w:pPr>
            <w:r>
              <w:rPr>
                <w:rFonts w:ascii="仿宋" w:hAnsi="仿宋" w:eastAsia="仿宋"/>
                <w:b/>
                <w:color w:val="375623"/>
                <w:sz w:val="17"/>
              </w:rPr>
              <w:t>杭州制造基地</w:t>
              <w:br/>
              <w:t>（5吋/6吋/8吋）</w:t>
            </w:r>
          </w:p>
        </w:tc>
        <w:tc>
          <w:tcPr>
            <w:tcW w:type="dxa" w:w="2948"/>
            <w:shd w:fill="#E2EFDA" w:val="clear"/>
            <w:tcBorders>
              <w:top w:val="single" w:sz="8" w:space="0" w:color="#E2EFDA"/>
              <w:bottom w:val="single" w:sz="8" w:space="0" w:color="#E2EFDA"/>
              <w:left w:val="single" w:sz="8" w:space="0" w:color="#E2EFDA"/>
              <w:right w:val="single" w:sz="8" w:space="0" w:color="#E2EFDA"/>
            </w:tcBorders>
          </w:tcPr>
          <w:p>
            <w:pPr>
              <w:spacing w:before="40" w:after="40" w:line="280" w:lineRule="exact"/>
              <w:ind w:firstLine="0"/>
              <w:jc w:val="center"/>
            </w:pPr>
            <w:r>
              <w:rPr>
                <w:rFonts w:ascii="仿宋" w:hAnsi="仿宋" w:eastAsia="仿宋"/>
                <w:b/>
                <w:color w:val="375623"/>
                <w:sz w:val="17"/>
              </w:rPr>
              <w:t>成都制造基地</w:t>
              <w:br/>
              <w:t>（功率模块封装）</w:t>
            </w:r>
          </w:p>
        </w:tc>
        <w:tc>
          <w:tcPr>
            <w:tcW w:type="dxa" w:w="2948"/>
            <w:shd w:fill="#E2EFDA" w:val="clear"/>
            <w:tcBorders>
              <w:top w:val="single" w:sz="8" w:space="0" w:color="#E2EFDA"/>
              <w:bottom w:val="single" w:sz="8" w:space="0" w:color="#E2EFDA"/>
              <w:left w:val="single" w:sz="8" w:space="0" w:color="#E2EFDA"/>
              <w:right w:val="single" w:sz="8" w:space="0" w:color="#E2EFDA"/>
            </w:tcBorders>
          </w:tcPr>
          <w:p>
            <w:pPr>
              <w:spacing w:before="40" w:after="40" w:line="280" w:lineRule="exact"/>
              <w:ind w:firstLine="0"/>
              <w:jc w:val="center"/>
            </w:pPr>
            <w:r>
              <w:rPr>
                <w:rFonts w:ascii="仿宋" w:hAnsi="仿宋" w:eastAsia="仿宋"/>
                <w:b/>
                <w:color w:val="375623"/>
                <w:sz w:val="17"/>
              </w:rPr>
              <w:t>厦门制造基地</w:t>
              <w:br/>
              <w:t>（12吋/化合物）</w:t>
            </w:r>
          </w:p>
        </w:tc>
      </w:tr>
    </w:tbl>
    <w:p>
      <w:pPr>
        <w:spacing w:before="0" w:after="0" w:line="120" w:lineRule="exact"/>
        <w:ind w:firstLine="0"/>
      </w:pPr>
      <w:r>
        <w:rPr>
          <w:sz w:val="12"/>
        </w:rPr>
      </w:r>
    </w:p>
    <w:p>
      <w:pPr>
        <w:spacing w:before="0" w:after="80"/>
        <w:ind w:firstLine="0"/>
        <w:jc w:val="center"/>
      </w:pPr>
      <w:r>
        <w:rPr>
          <w:rFonts w:ascii="仿宋" w:hAnsi="仿宋" w:eastAsia="仿宋"/>
          <w:sz w:val="18"/>
        </w:rPr>
        <w:t>图一  士兰微电子组织架构示意图</w:t>
      </w:r>
    </w:p>
    <w:p>
      <w:pPr>
        <w:spacing w:line="560" w:lineRule="exact" w:after="20"/>
        <w:ind w:firstLine="640"/>
      </w:pPr>
      <w:r>
        <w:rPr>
          <w:rFonts w:ascii="仿宋" w:hAnsi="仿宋" w:eastAsia="仿宋"/>
          <w:sz w:val="32"/>
        </w:rPr>
        <w:t>信息技术部为公司信息化与数字化转型的核心部门，下设IT基础架构组、ERP/SAP运维、MES/CIM系统、容器云/DevOps、信息安全、大数据/AI平台等专业团队。控股子公司包括：杭州士兰集成电路有限公司、杭州士兰集昕微电子有限公司（8吋线）、成都士兰半导体制造有限公司、厦门士兰明镓化合物半导体有限公司等。</w:t>
      </w:r>
    </w:p>
    <w:p>
      <w:pPr>
        <w:spacing w:before="120" w:after="60" w:line="520" w:lineRule="exact"/>
        <w:ind w:firstLine="0"/>
      </w:pPr>
      <w:r>
        <w:rPr>
          <w:rFonts w:ascii="黑体" w:hAnsi="黑体" w:eastAsia="黑体"/>
          <w:b/>
          <w:sz w:val="32"/>
        </w:rPr>
        <w:t>三、IT架构规划方案</w:t>
      </w:r>
    </w:p>
    <w:p>
      <w:pPr>
        <w:spacing w:line="560" w:lineRule="exact" w:after="20"/>
        <w:ind w:firstLine="640"/>
      </w:pPr>
      <w:r>
        <w:rPr>
          <w:rFonts w:ascii="仿宋" w:hAnsi="仿宋" w:eastAsia="仿宋"/>
          <w:sz w:val="32"/>
        </w:rPr>
        <w:t>基于青云KubeSphere企业版（KSE 4.2）和青云AI智算平台，为士兰微规划六层IT架构体系，以青云统一底座贯通各层级、赋能全业务。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3118"/>
        <w:gridCol w:w="4535"/>
      </w:tblGrid>
      <w:tr>
        <w:trPr>
          <w:trHeight w:val="567"/>
        </w:trPr>
        <w:tc>
          <w:tcPr>
            <w:tcW w:type="dxa" w:w="2948"/>
            <w:shd w:fill="4472C4" w:val="clear"/>
            <w:tcBorders>
              <w:top w:val="single" w:sz="6" w:space="0" w:color="4472C4"/>
              <w:bottom w:val="single" w:sz="6" w:space="0" w:color="4472C4"/>
              <w:left w:val="single" w:sz="6" w:space="0" w:color="4472C4"/>
              <w:right w:val="single" w:sz="6" w:space="0" w:color="4472C4"/>
            </w:tcBorders>
          </w:tcPr>
          <w:p>
            <w:pPr>
              <w:spacing w:before="40" w:after="40" w:line="320" w:lineRule="exact"/>
              <w:ind w:firstLine="0"/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六</w:t>
            </w:r>
          </w:p>
        </w:tc>
        <w:tc>
          <w:tcPr>
            <w:tcW w:type="dxa" w:w="2948"/>
            <w:shd w:fill="#FCE4EC" w:val="clea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</w:tcPr>
          <w:p>
            <w:pPr>
              <w:spacing w:before="40" w:after="40" w:line="280" w:lineRule="exact"/>
              <w:ind w:firstLine="0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数据安全与合规层</w:t>
            </w:r>
          </w:p>
        </w:tc>
        <w:tc>
          <w:tcPr>
            <w:tcW w:type="dxa" w:w="2948"/>
            <w:shd w:fill="FFFFFF" w:val="clea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</w:tcPr>
          <w:p>
            <w:pPr>
              <w:spacing w:before="40" w:after="40" w:line="280" w:lineRule="exact"/>
              <w:ind w:firstLine="0"/>
              <w:jc w:val="left"/>
            </w:pPr>
            <w:r>
              <w:rPr>
                <w:rFonts w:ascii="仿宋" w:hAnsi="仿宋" w:eastAsia="仿宋"/>
                <w:b w:val="0"/>
                <w:color w:val="333333"/>
                <w:sz w:val="17"/>
              </w:rPr>
              <w:t>数据分级分类与访问控制 | 网络安全防护与等保合规 | 数据备份与容灾审计</w:t>
            </w:r>
          </w:p>
        </w:tc>
      </w:tr>
      <w:tr>
        <w:trPr>
          <w:trHeight w:val="567"/>
        </w:trPr>
        <w:tc>
          <w:tcPr>
            <w:tcW w:type="dxa" w:w="2948"/>
            <w:shd w:fill="4472C4" w:val="clear"/>
            <w:tcBorders>
              <w:top w:val="single" w:sz="6" w:space="0" w:color="4472C4"/>
              <w:bottom w:val="single" w:sz="6" w:space="0" w:color="4472C4"/>
              <w:left w:val="single" w:sz="6" w:space="0" w:color="4472C4"/>
              <w:right w:val="single" w:sz="6" w:space="0" w:color="4472C4"/>
            </w:tcBorders>
          </w:tcPr>
          <w:p>
            <w:pPr>
              <w:spacing w:before="40" w:after="40" w:line="320" w:lineRule="exact"/>
              <w:ind w:firstLine="0"/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五</w:t>
            </w:r>
          </w:p>
        </w:tc>
        <w:tc>
          <w:tcPr>
            <w:tcW w:type="dxa" w:w="2948"/>
            <w:shd w:fill="#E8F5E9" w:val="clea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</w:tcPr>
          <w:p>
            <w:pPr>
              <w:spacing w:before="40" w:after="40" w:line="280" w:lineRule="exact"/>
              <w:ind w:firstLine="0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协同办公与门户层</w:t>
            </w:r>
          </w:p>
        </w:tc>
        <w:tc>
          <w:tcPr>
            <w:tcW w:type="dxa" w:w="2948"/>
            <w:shd w:fill="FFFFFF" w:val="clea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</w:tcPr>
          <w:p>
            <w:pPr>
              <w:spacing w:before="40" w:after="40" w:line="280" w:lineRule="exact"/>
              <w:ind w:firstLine="0"/>
              <w:jc w:val="left"/>
            </w:pPr>
            <w:r>
              <w:rPr>
                <w:rFonts w:ascii="仿宋" w:hAnsi="仿宋" w:eastAsia="仿宋"/>
                <w:b w:val="0"/>
                <w:color w:val="333333"/>
                <w:sz w:val="17"/>
              </w:rPr>
              <w:t>OA审批流程 | 企业信息门户 | 邮件与即时通讯 | 视频会议 | HR行政管理</w:t>
            </w:r>
          </w:p>
        </w:tc>
      </w:tr>
      <w:tr>
        <w:trPr>
          <w:trHeight w:val="567"/>
        </w:trPr>
        <w:tc>
          <w:tcPr>
            <w:tcW w:type="dxa" w:w="2948"/>
            <w:shd w:fill="4472C4" w:val="clear"/>
            <w:tcBorders>
              <w:top w:val="single" w:sz="6" w:space="0" w:color="4472C4"/>
              <w:bottom w:val="single" w:sz="6" w:space="0" w:color="4472C4"/>
              <w:left w:val="single" w:sz="6" w:space="0" w:color="4472C4"/>
              <w:right w:val="single" w:sz="6" w:space="0" w:color="4472C4"/>
            </w:tcBorders>
          </w:tcPr>
          <w:p>
            <w:pPr>
              <w:spacing w:before="40" w:after="40" w:line="320" w:lineRule="exact"/>
              <w:ind w:firstLine="0"/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四</w:t>
            </w:r>
          </w:p>
        </w:tc>
        <w:tc>
          <w:tcPr>
            <w:tcW w:type="dxa" w:w="2948"/>
            <w:shd w:fill="#FFF3E0" w:val="clea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</w:tcPr>
          <w:p>
            <w:pPr>
              <w:spacing w:before="40" w:after="40" w:line="280" w:lineRule="exact"/>
              <w:ind w:firstLine="0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业务运营与管理层</w:t>
            </w:r>
          </w:p>
        </w:tc>
        <w:tc>
          <w:tcPr>
            <w:tcW w:type="dxa" w:w="2948"/>
            <w:shd w:fill="FFFFFF" w:val="clea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</w:tcPr>
          <w:p>
            <w:pPr>
              <w:spacing w:before="40" w:after="40" w:line="280" w:lineRule="exact"/>
              <w:ind w:firstLine="0"/>
              <w:jc w:val="left"/>
            </w:pPr>
            <w:r>
              <w:rPr>
                <w:rFonts w:ascii="仿宋" w:hAnsi="仿宋" w:eastAsia="仿宋"/>
                <w:b w:val="0"/>
                <w:color w:val="333333"/>
                <w:sz w:val="17"/>
              </w:rPr>
              <w:t>ERP（财务/供应链/采购）| CRM客户管理 | PLM产品生命周期 | SCM | BI经营分析</w:t>
            </w:r>
          </w:p>
        </w:tc>
      </w:tr>
      <w:tr>
        <w:trPr>
          <w:trHeight w:val="567"/>
        </w:trPr>
        <w:tc>
          <w:tcPr>
            <w:tcW w:type="dxa" w:w="2948"/>
            <w:shd w:fill="4472C4" w:val="clear"/>
            <w:tcBorders>
              <w:top w:val="single" w:sz="6" w:space="0" w:color="4472C4"/>
              <w:bottom w:val="single" w:sz="6" w:space="0" w:color="4472C4"/>
              <w:left w:val="single" w:sz="6" w:space="0" w:color="4472C4"/>
              <w:right w:val="single" w:sz="6" w:space="0" w:color="4472C4"/>
            </w:tcBorders>
          </w:tcPr>
          <w:p>
            <w:pPr>
              <w:spacing w:before="40" w:after="40" w:line="320" w:lineRule="exact"/>
              <w:ind w:firstLine="0"/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三</w:t>
            </w:r>
          </w:p>
        </w:tc>
        <w:tc>
          <w:tcPr>
            <w:tcW w:type="dxa" w:w="2948"/>
            <w:shd w:fill="#E3F2FD" w:val="clea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</w:tcPr>
          <w:p>
            <w:pPr>
              <w:spacing w:before="40" w:after="40" w:line="280" w:lineRule="exact"/>
              <w:ind w:firstLine="0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生产执行与研发设计层（IDM核心）</w:t>
            </w:r>
          </w:p>
        </w:tc>
        <w:tc>
          <w:tcPr>
            <w:tcW w:type="dxa" w:w="2948"/>
            <w:shd w:fill="FFFFFF" w:val="clea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</w:tcPr>
          <w:p>
            <w:pPr>
              <w:spacing w:before="40" w:after="40" w:line="280" w:lineRule="exact"/>
              <w:ind w:firstLine="0"/>
              <w:jc w:val="left"/>
            </w:pPr>
            <w:r>
              <w:rPr>
                <w:rFonts w:ascii="仿宋" w:hAnsi="仿宋" w:eastAsia="仿宋"/>
                <w:b w:val="0"/>
                <w:color w:val="333333"/>
                <w:sz w:val="17"/>
              </w:rPr>
              <w:t>MES制造执行系统 | CIM设备自动化 | YMS良率分析 | EDA仿真平台 | AI辅助设计</w:t>
            </w:r>
          </w:p>
        </w:tc>
      </w:tr>
      <w:tr>
        <w:trPr>
          <w:trHeight w:val="567"/>
        </w:trPr>
        <w:tc>
          <w:tcPr>
            <w:tcW w:type="dxa" w:w="2948"/>
            <w:shd w:fill="4472C4" w:val="clear"/>
            <w:tcBorders>
              <w:top w:val="single" w:sz="6" w:space="0" w:color="4472C4"/>
              <w:bottom w:val="single" w:sz="6" w:space="0" w:color="4472C4"/>
              <w:left w:val="single" w:sz="6" w:space="0" w:color="4472C4"/>
              <w:right w:val="single" w:sz="6" w:space="0" w:color="4472C4"/>
            </w:tcBorders>
          </w:tcPr>
          <w:p>
            <w:pPr>
              <w:spacing w:before="40" w:after="40" w:line="320" w:lineRule="exact"/>
              <w:ind w:firstLine="0"/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二</w:t>
            </w:r>
          </w:p>
        </w:tc>
        <w:tc>
          <w:tcPr>
            <w:tcW w:type="dxa" w:w="2948"/>
            <w:shd w:fill="#F3E5F5" w:val="clea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</w:tcPr>
          <w:p>
            <w:pPr>
              <w:spacing w:before="40" w:after="40" w:line="280" w:lineRule="exact"/>
              <w:ind w:firstLine="0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基础设施与云平台层</w:t>
              <w:br/>
              <w:t>（KubeSphere+AI智算平台）</w:t>
            </w:r>
          </w:p>
        </w:tc>
        <w:tc>
          <w:tcPr>
            <w:tcW w:type="dxa" w:w="2948"/>
            <w:shd w:fill="FFFFFF" w:val="clea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</w:tcPr>
          <w:p>
            <w:pPr>
              <w:spacing w:before="40" w:after="40" w:line="280" w:lineRule="exact"/>
              <w:ind w:firstLine="0"/>
              <w:jc w:val="left"/>
            </w:pPr>
            <w:r>
              <w:rPr>
                <w:rFonts w:ascii="仿宋" w:hAnsi="仿宋" w:eastAsia="仿宋"/>
                <w:b w:val="0"/>
                <w:color w:val="333333"/>
                <w:sz w:val="17"/>
              </w:rPr>
              <w:t>多集群统一管理 | 全栈可观测性 | GPU调度与AI训练 | DevOps自动化 | 信创国产化适配</w:t>
            </w:r>
          </w:p>
        </w:tc>
      </w:tr>
      <w:tr>
        <w:trPr>
          <w:trHeight w:val="567"/>
        </w:trPr>
        <w:tc>
          <w:tcPr>
            <w:tcW w:type="dxa" w:w="2948"/>
            <w:shd w:fill="4472C4" w:val="clear"/>
            <w:tcBorders>
              <w:top w:val="single" w:sz="6" w:space="0" w:color="4472C4"/>
              <w:bottom w:val="single" w:sz="6" w:space="0" w:color="4472C4"/>
              <w:left w:val="single" w:sz="6" w:space="0" w:color="4472C4"/>
              <w:right w:val="single" w:sz="6" w:space="0" w:color="4472C4"/>
            </w:tcBorders>
          </w:tcPr>
          <w:p>
            <w:pPr>
              <w:spacing w:before="40" w:after="40" w:line="320" w:lineRule="exact"/>
              <w:ind w:firstLine="0"/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一</w:t>
            </w:r>
          </w:p>
        </w:tc>
        <w:tc>
          <w:tcPr>
            <w:tcW w:type="dxa" w:w="2948"/>
            <w:shd w:fill="#E0E0E0" w:val="clea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</w:tcPr>
          <w:p>
            <w:pPr>
              <w:spacing w:before="40" w:after="40" w:line="280" w:lineRule="exact"/>
              <w:ind w:firstLine="0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硬件与网络层</w:t>
            </w:r>
          </w:p>
        </w:tc>
        <w:tc>
          <w:tcPr>
            <w:tcW w:type="dxa" w:w="2948"/>
            <w:shd w:fill="FFFFFF" w:val="clea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</w:tcPr>
          <w:p>
            <w:pPr>
              <w:spacing w:before="40" w:after="40" w:line="280" w:lineRule="exact"/>
              <w:ind w:firstLine="0"/>
              <w:jc w:val="left"/>
            </w:pPr>
            <w:r>
              <w:rPr>
                <w:rFonts w:ascii="仿宋" w:hAnsi="仿宋" w:eastAsia="仿宋"/>
                <w:b w:val="0"/>
                <w:color w:val="333333"/>
                <w:sz w:val="17"/>
              </w:rPr>
              <w:t>x86/ARM/信创服务器 | GPU算力集群 | 全闪/混闪/对象存储 | 万兆/IB高速网络 | 三地数据中心</w:t>
            </w:r>
          </w:p>
        </w:tc>
      </w:tr>
      <w:tr>
        <w:trPr>
          <w:trHeight w:val="340"/>
        </w:trPr>
        <w:tc>
          <w:tcPr>
            <w:tcW w:type="dxa" w:w="8844"/>
            <w:shd w:fill="FFFFFF" w:val="clear"/>
            <w:gridSpan w:val="3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</w:tcBorders>
          </w:tcPr>
          <w:p>
            <w:pPr>
              <w:spacing w:before="40" w:after="40" w:line="320" w:lineRule="exact"/>
              <w:ind w:firstLine="0"/>
              <w:jc w:val="center"/>
            </w:pPr>
            <w:r>
              <w:rPr>
                <w:rFonts w:ascii="仿宋" w:hAnsi="仿宋" w:eastAsia="仿宋"/>
                <w:b w:val="0"/>
                <w:color w:val="FFFFFF"/>
                <w:sz w:val="20"/>
              </w:rPr>
            </w:r>
          </w:p>
          <w:p>
            <w:pPr>
              <w:spacing w:before="40" w:after="40" w:line="320" w:lineRule="exact"/>
              <w:ind w:firstLine="0"/>
              <w:jc w:val="center"/>
            </w:pPr>
            <w:r>
              <w:rPr>
                <w:rFonts w:ascii="仿宋" w:hAnsi="仿宋" w:eastAsia="仿宋"/>
                <w:b w:val="0"/>
                <w:color w:val="FFFFFF"/>
                <w:sz w:val="20"/>
              </w:rPr>
            </w:r>
          </w:p>
          <w:p>
            <w:pPr>
              <w:spacing w:before="40" w:after="40" w:line="280" w:lineRule="exact"/>
              <w:ind w:firstLine="0"/>
              <w:jc w:val="center"/>
            </w:pPr>
            <w:r>
              <w:rPr>
                <w:rFonts w:ascii="黑体" w:hAnsi="黑体" w:eastAsia="黑体"/>
                <w:b/>
                <w:color w:val="FFFFFF"/>
                <w:sz w:val="18"/>
              </w:rPr>
              <w:t>■ 统一底座：青云KubeSphere企业版 + AI智算平台 + 软件定义存储</w:t>
            </w:r>
          </w:p>
        </w:tc>
      </w:tr>
    </w:tbl>
    <w:p>
      <w:pPr>
        <w:spacing w:before="0" w:after="120"/>
        <w:ind w:firstLine="0"/>
        <w:jc w:val="center"/>
      </w:pPr>
      <w:r>
        <w:rPr>
          <w:rFonts w:ascii="仿宋" w:hAnsi="仿宋" w:eastAsia="仿宋"/>
          <w:sz w:val="18"/>
        </w:rPr>
        <w:t>图二  士兰微IT架构分层示意图（青云统一底座）</w:t>
      </w:r>
    </w:p>
    <w:p>
      <w:pPr>
        <w:spacing w:line="560" w:lineRule="exact" w:after="20"/>
        <w:ind w:firstLine="640"/>
      </w:pPr>
      <w:r>
        <w:rPr>
          <w:rFonts w:ascii="仿宋" w:hAnsi="仿宋" w:eastAsia="仿宋"/>
          <w:sz w:val="32"/>
        </w:rPr>
        <w:t>第一层：硬件与网络层。包括x86/ARM/信创计算服务器、GPU算力集群、全闪/混闪/对象存储设备、万兆/IB高速网络、三地数据中心。</w:t>
      </w:r>
    </w:p>
    <w:p>
      <w:pPr>
        <w:spacing w:line="560" w:lineRule="exact" w:after="20"/>
        <w:ind w:firstLine="640"/>
      </w:pPr>
      <w:r>
        <w:rPr>
          <w:rFonts w:ascii="仿宋" w:hAnsi="仿宋" w:eastAsia="仿宋"/>
          <w:sz w:val="32"/>
        </w:rPr>
        <w:t>第二层：基础设施与云平台层。以青云KubeSphere企业版为容器云底座，提供多集群统一管理、全栈可观测性、DevOps自动化流水线；以青云AI智算平台提供GPU调度、AI训练推理、模型全生命周期管理；支持信创国产化适配。</w:t>
      </w:r>
    </w:p>
    <w:p>
      <w:pPr>
        <w:spacing w:line="560" w:lineRule="exact" w:after="20"/>
        <w:ind w:firstLine="640"/>
      </w:pPr>
      <w:r>
        <w:rPr>
          <w:rFonts w:ascii="仿宋" w:hAnsi="仿宋" w:eastAsia="仿宋"/>
          <w:sz w:val="32"/>
        </w:rPr>
        <w:t>第三层：生产执行与研发设计层。包括MES制造执行系统、EDA芯片设计与仿真平台、CIM设备自动化系统、YMS良率管理、AI辅助设计等。</w:t>
      </w:r>
    </w:p>
    <w:p>
      <w:pPr>
        <w:spacing w:line="560" w:lineRule="exact" w:after="20"/>
        <w:ind w:firstLine="640"/>
      </w:pPr>
      <w:r>
        <w:rPr>
          <w:rFonts w:ascii="仿宋" w:hAnsi="仿宋" w:eastAsia="仿宋"/>
          <w:sz w:val="32"/>
        </w:rPr>
        <w:t>第四层：业务运营与管理层。包括ERP、CRM、PLM、SCM、BI经营分析等。</w:t>
      </w:r>
    </w:p>
    <w:p>
      <w:pPr>
        <w:spacing w:line="560" w:lineRule="exact" w:after="20"/>
        <w:ind w:firstLine="640"/>
      </w:pPr>
      <w:r>
        <w:rPr>
          <w:rFonts w:ascii="仿宋" w:hAnsi="仿宋" w:eastAsia="仿宋"/>
          <w:sz w:val="32"/>
        </w:rPr>
        <w:t>第五层：协同办公与门户层。涵盖OA审批、企业门户、邮件通讯、视频会议、HR行政等。</w:t>
      </w:r>
    </w:p>
    <w:p>
      <w:pPr>
        <w:spacing w:line="560" w:lineRule="exact" w:after="20"/>
        <w:ind w:firstLine="640"/>
      </w:pPr>
      <w:r>
        <w:rPr>
          <w:rFonts w:ascii="仿宋" w:hAnsi="仿宋" w:eastAsia="仿宋"/>
          <w:sz w:val="32"/>
        </w:rPr>
        <w:t>第六层：数据安全与合规层。覆盖数据分级分类、访问控制与审计、网络安全防护、等保合规等。</w:t>
      </w:r>
    </w:p>
    <w:p>
      <w:pPr>
        <w:spacing w:before="120" w:after="60" w:line="520" w:lineRule="exact"/>
        <w:ind w:firstLine="0"/>
      </w:pPr>
      <w:r>
        <w:rPr>
          <w:rFonts w:ascii="黑体" w:hAnsi="黑体" w:eastAsia="黑体"/>
          <w:b/>
          <w:sz w:val="32"/>
        </w:rPr>
        <w:t>四、青云方案核心价值</w:t>
      </w:r>
    </w:p>
    <w:p>
      <w:pPr>
        <w:spacing w:line="560" w:lineRule="exact" w:after="20"/>
        <w:ind w:firstLine="640"/>
      </w:pPr>
      <w:r>
        <w:rPr>
          <w:rFonts w:ascii="仿宋" w:hAnsi="仿宋" w:eastAsia="仿宋"/>
          <w:sz w:val="32"/>
        </w:rPr>
        <w:t>KubeSphere企业版（KSE 4.2）可为士兰微提供多基地集群统一管理、全栈可观测性、GPU调度、多租户隔离等核心能力。青云AI智算平台支撑EDA仿真加速、AI辅助设计、良率预测等AI算力需求。KubeSphere已完成与鲲鹏、飞腾、海光及麒麟、统信等国产化适配认证。</w:t>
      </w:r>
    </w:p>
    <w:sectPr w:rsidR="00FC693F" w:rsidRPr="0006063C" w:rsidSect="00034616">
      <w:pgSz w:w="11906" w:h="16838"/>
      <w:pgMar w:top="2098" w:right="1474" w:bottom="198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line="560" w:lineRule="exact" w:after="0" w:before="0"/>
      <w:ind w:firstLine="640"/>
    </w:pPr>
    <w:rPr>
      <w:rFonts w:ascii="仿宋" w:hAnsi="仿宋" w:eastAsia="仿宋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