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黑体" w:hAnsi="黑体" w:eastAsia="黑体"/>
          <w:b/>
          <w:sz w:val="44"/>
        </w:rPr>
        <w:t>士兰微组织架构与IT架构方案</w:t>
      </w:r>
    </w:p>
    <w:p>
      <w:pPr>
        <w:spacing w:after="120"/>
        <w:ind w:firstLine="0"/>
        <w:jc w:val="center"/>
      </w:pPr>
      <w:r>
        <w:rPr>
          <w:rFonts w:ascii="仿宋" w:hAnsi="仿宋" w:eastAsia="仿宋"/>
          <w:sz w:val="32"/>
        </w:rPr>
        <w:t>——基于青云KubeSphere企业版及AI智算平台的IT架构规划</w:t>
      </w:r>
    </w:p>
    <w:p>
      <w:pPr>
        <w:spacing w:before="480"/>
        <w:ind w:firstLine="0"/>
        <w:jc w:val="right"/>
      </w:pPr>
      <w:r>
        <w:rPr>
          <w:rFonts w:ascii="仿宋" w:hAnsi="仿宋" w:eastAsia="仿宋"/>
          <w:sz w:val="24"/>
        </w:rPr>
        <w:t>文档版本：V1.0</w:t>
        <w:br/>
        <w:t>编制日期：2026年6月12日</w:t>
        <w:br/>
        <w:t>编制单位：青云科技销售部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一、公司概况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杭州士兰微电子股份有限公司（证券代码：600460）成立于1997年9月，总部位于杭州高新技术产业开发区，是国内第一家在中国境内上市的集成电路芯片设计企业。公司采用IDM（设计与制造一体化）运营模式，打通了"芯片设计—芯片制造—芯片封装"全产业链，芯片产线实现了从5吋到12吋的跨越，并从硅基产线拓展到化合物产线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2025年度，公司营业总收入为130.52亿元，同比增长16.32%，归属于母公司股东的净利润为3.99亿元，同比增长81.27%。公司产品和研发投入主要集中在功率半导体与化合物器件、功率驱动与控制系统、MEMS传感器、ASIC产品、光电产品五大领域。公司拥有超过800人的芯片设计研发团队和超过3600人的工艺、封装、测试技术研发队伍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二、公司组织架构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公司形成了以股东大会为最高权力机构、董事会为决策机构、总经理为执行负责人的规范治理结构。核心管理层包括：董事长陈向东、副董事长范伟宏、副董事长兼总经理郑少波。下设研发中心、制造中心、市场销售中心、信息技术部、质量与可靠性部、职能总部等核心部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rHeight w:val="567"/>
        </w:trPr>
        <w:tc>
          <w:tcPr>
            <w:tcW w:type="dxa" w:w="6688"/>
            <w:gridSpan w:val="5"/>
            <w:shd w:fill="1F4E79"/>
            <w:vAlign w:val="center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股东大会</w:t>
            </w:r>
          </w:p>
        </w:tc>
      </w:tr>
      <w:tr>
        <w:trPr>
          <w:trHeight w:val="510"/>
        </w:trPr>
        <w:tc>
          <w:tcPr>
            <w:tcW w:type="dxa" w:w="2437"/>
            <w:gridSpan w:val="2"/>
            <w:shd w:fill="1F4E79"/>
            <w:vAlign w:val="center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董事会</w:t>
            </w:r>
          </w:p>
        </w:tc>
        <w:tc>
          <w:tcPr>
            <w:tcW w:type="dxa" w:w="1417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/>
        </w:tc>
        <w:tc>
          <w:tcPr>
            <w:tcW w:type="dxa" w:w="2834"/>
            <w:gridSpan w:val="2"/>
            <w:shd w:fill="1F4E79"/>
            <w:vAlign w:val="center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监事会</w:t>
            </w:r>
          </w:p>
        </w:tc>
      </w:tr>
      <w:tr>
        <w:trPr>
          <w:trHeight w:val="510"/>
        </w:trPr>
        <w:tc>
          <w:tcPr>
            <w:tcW w:type="dxa" w:w="6688"/>
            <w:gridSpan w:val="5"/>
            <w:shd w:fill="4472C4"/>
            <w:vAlign w:val="center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总经理</w:t>
            </w:r>
          </w:p>
        </w:tc>
      </w:tr>
      <w:tr>
        <w:trPr>
          <w:trHeight w:val="454"/>
        </w:trPr>
        <w:tc>
          <w:tcPr>
            <w:tcW w:type="dxa" w:w="1020"/>
            <w:vMerge w:val="restart"/>
            <w:shd w:fill="D6E4F0"/>
            <w:vAlign w:val="center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20"/>
              </w:rPr>
              <w:t>研发中心</w:t>
            </w:r>
          </w:p>
        </w:tc>
        <w:tc>
          <w:tcPr>
            <w:tcW w:type="dxa" w:w="1417"/>
            <w:vMerge w:val="restart"/>
            <w:shd w:fill="D6E4F0"/>
            <w:vAlign w:val="center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20"/>
              </w:rPr>
              <w:t>制造中心</w:t>
            </w:r>
          </w:p>
        </w:tc>
        <w:tc>
          <w:tcPr>
            <w:tcW w:type="dxa" w:w="1417"/>
            <w:vMerge w:val="restart"/>
            <w:shd w:fill="D6E4F0"/>
            <w:vAlign w:val="center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20"/>
              </w:rPr>
              <w:t>市场销售中心</w:t>
            </w:r>
          </w:p>
        </w:tc>
        <w:tc>
          <w:tcPr>
            <w:tcW w:type="dxa" w:w="1417"/>
            <w:vMerge w:val="restart"/>
            <w:shd w:fill="D6E4F0"/>
            <w:vAlign w:val="center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20"/>
              </w:rPr>
              <w:t>信息技术部</w:t>
              <w:br/>
              <w:t>（IT）</w:t>
            </w:r>
          </w:p>
        </w:tc>
        <w:tc>
          <w:tcPr>
            <w:tcW w:type="dxa" w:w="1417"/>
            <w:vMerge w:val="restart"/>
            <w:shd w:fill="D6E4F0"/>
            <w:vAlign w:val="center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20"/>
              </w:rPr>
              <w:t>质量与</w:t>
              <w:br/>
              <w:t>可靠性部</w:t>
            </w:r>
          </w:p>
        </w:tc>
      </w:tr>
      <w:tr>
        <w:trPr>
          <w:trHeight w:val="454"/>
        </w:trPr>
        <w:tc>
          <w:tcPr>
            <w:tcW w:type="dxa" w:w="1020"/>
            <w:vMerge/>
          </w:tcPr>
          <w:p/>
        </w:tc>
        <w:tc>
          <w:tcPr>
            <w:tcW w:type="dxa" w:w="1417"/>
            <w:vMerge/>
          </w:tcPr>
          <w:p/>
        </w:tc>
        <w:tc>
          <w:tcPr>
            <w:tcW w:type="dxa" w:w="1417"/>
            <w:vMerge/>
          </w:tcPr>
          <w:p/>
        </w:tc>
        <w:tc>
          <w:tcPr>
            <w:tcW w:type="dxa" w:w="1417"/>
            <w:vMerge/>
          </w:tcPr>
          <w:p/>
        </w:tc>
        <w:tc>
          <w:tcPr>
            <w:tcW w:type="dxa" w:w="1417"/>
            <w:vMerge/>
          </w:tcPr>
          <w:p/>
        </w:tc>
      </w:tr>
      <w:tr>
        <w:trPr>
          <w:trHeight w:val="170"/>
        </w:trPr>
        <w:tc>
          <w:tcPr>
            <w:tcW w:type="dxa" w:w="1020"/>
            <w:shd w:fill="FFFFFF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r/>
          </w:p>
        </w:tc>
        <w:tc>
          <w:tcPr>
            <w:tcW w:type="dxa" w:w="1417"/>
            <w:shd w:fill="FFFFFF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r/>
          </w:p>
        </w:tc>
        <w:tc>
          <w:tcPr>
            <w:tcW w:type="dxa" w:w="1417"/>
            <w:shd w:fill="FFFFFF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r/>
          </w:p>
        </w:tc>
        <w:tc>
          <w:tcPr>
            <w:tcW w:type="dxa" w:w="1417"/>
            <w:shd w:fill="FFFFFF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r/>
          </w:p>
        </w:tc>
        <w:tc>
          <w:tcPr>
            <w:tcW w:type="dxa" w:w="1417"/>
            <w:shd w:fill="FFFFFF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r/>
          </w:p>
        </w:tc>
      </w:tr>
      <w:tr>
        <w:trPr>
          <w:trHeight w:val="170"/>
        </w:trPr>
        <w:tc>
          <w:tcPr>
            <w:tcW w:type="dxa" w:w="1020"/>
            <w:shd w:fill="FFFFFF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r/>
          </w:p>
        </w:tc>
        <w:tc>
          <w:tcPr>
            <w:tcW w:type="dxa" w:w="1417"/>
            <w:shd w:fill="FFFFFF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r/>
          </w:p>
        </w:tc>
        <w:tc>
          <w:tcPr>
            <w:tcW w:type="dxa" w:w="1417"/>
            <w:shd w:fill="FFFFFF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r/>
          </w:p>
        </w:tc>
        <w:tc>
          <w:tcPr>
            <w:tcW w:type="dxa" w:w="1417"/>
            <w:shd w:fill="FFFFFF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r/>
          </w:p>
        </w:tc>
        <w:tc>
          <w:tcPr>
            <w:tcW w:type="dxa" w:w="1417"/>
            <w:shd w:fill="FFFFFF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r/>
          </w:p>
        </w:tc>
      </w:tr>
      <w:tr>
        <w:trPr>
          <w:trHeight w:val="567"/>
        </w:trPr>
        <w:tc>
          <w:tcPr>
            <w:tcW w:type="dxa" w:w="2437"/>
            <w:gridSpan w:val="2"/>
            <w:vMerge w:val="restart"/>
            <w:shd w:fill="E2EFDA"/>
            <w:vAlign w:val="center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杭州制造基地</w:t>
              <w:br/>
              <w:t>5吋/6吋/8吋线</w:t>
            </w:r>
          </w:p>
        </w:tc>
        <w:tc>
          <w:tcPr>
            <w:tcW w:type="dxa" w:w="1417"/>
            <w:vMerge w:val="restart"/>
            <w:shd w:fill="E2EFDA"/>
            <w:vAlign w:val="center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成都制造基地</w:t>
              <w:br/>
              <w:t>功率模块封装</w:t>
            </w:r>
          </w:p>
        </w:tc>
        <w:tc>
          <w:tcPr>
            <w:tcW w:type="dxa" w:w="2834"/>
            <w:gridSpan w:val="2"/>
            <w:vMerge w:val="restart"/>
            <w:shd w:fill="E2EFDA"/>
            <w:vAlign w:val="center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sz w:val="18"/>
              </w:rPr>
              <w:t>厦门制造基地</w:t>
              <w:br/>
              <w:t>12吋/化合物</w:t>
            </w:r>
          </w:p>
        </w:tc>
      </w:tr>
      <w:tr>
        <w:trPr>
          <w:trHeight w:val="567"/>
        </w:trPr>
        <w:tc>
          <w:tcPr>
            <w:tcW w:type="dxa" w:w="2437"/>
            <w:gridSpan w:val="2"/>
            <w:vMerge/>
          </w:tcPr>
          <w:p/>
        </w:tc>
        <w:tc>
          <w:tcPr>
            <w:tcW w:type="dxa" w:w="1417"/>
            <w:vMerge/>
          </w:tcPr>
          <w:p/>
        </w:tc>
        <w:tc>
          <w:tcPr>
            <w:tcW w:type="dxa" w:w="2834"/>
            <w:gridSpan w:val="2"/>
            <w:vMerge/>
          </w:tcPr>
          <w:p/>
        </w:tc>
      </w:tr>
      <w:tr>
        <w:trPr>
          <w:trHeight w:val="340"/>
        </w:trPr>
        <w:tc>
          <w:tcPr>
            <w:tcW w:type="dxa" w:w="6688"/>
            <w:gridSpan w:val="5"/>
            <w:shd w:fill="FFFFFF"/>
            <w:vAlign w:val="center"/>
            <w:tcBorders>
              <w:top w:val="single" w:sz="4" w:color="333333"/>
              <w:left w:val="single" w:sz="4" w:color="333333"/>
              <w:bottom w:val="single" w:sz="4" w:color="333333"/>
              <w:right w:val="single" w:sz="4" w:color="333333"/>
            </w:tcBorders>
          </w:tcPr>
          <w:p>
            <w:pPr>
              <w:spacing w:before="20" w:after="20" w:line="28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6"/>
              </w:rPr>
              <w:t>注：绿色为制造/封装基地；蓝色为核心管理及职能部门</w:t>
            </w:r>
          </w:p>
        </w:tc>
      </w:tr>
    </w:tbl>
    <w:p>
      <w:pPr>
        <w:spacing w:before="40" w:after="240"/>
        <w:ind w:firstLine="0"/>
        <w:jc w:val="center"/>
      </w:pPr>
      <w:r>
        <w:rPr>
          <w:rFonts w:ascii="仿宋" w:hAnsi="仿宋" w:eastAsia="仿宋"/>
          <w:sz w:val="20"/>
        </w:rPr>
        <w:t>图一  士兰微电子组织架构示意图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信息技术部为公司信息化与数字化转型的核心部门，下设IT基础架构组、ERP/SAP运维、MES/CIM系统、容器云/DevOps、信息安全、大数据/AI平台等专业团队，负责公司整体IT规划与建设。针对本次容器云平台建设项目，信息技术部为直接对接部门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控股子公司包括：杭州士兰集成电路有限公司（5吋/6吋线）、杭州士兰集昕微电子有限公司（8吋线）、成都士兰半导体制造有限公司（功率模块封装）、成都集佳科技有限公司、厦门士兰明镓化合物半导体有限公司（SiC功率器件、LED芯片）。参股公司包括：厦门士兰集科微电子有限公司（12吋线）、厦门士兰集宏半导体有限公司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三、IT架构现状与规划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士兰微作为国内领先的IDM半导体企业，在信息化建设方面已构建了较为完善的IT体系，涵盖ERP、MES、CIM、EDA仿真等核心系统。然而，随着企业规模持续扩大和AI技术快速发展，现有IT架构面临以下挑战：一是多基地（杭州、成都、厦门）间IT系统独立部署，缺乏统一管控平台；二是现有K8s集群管理方式原始，缺少自动化运维能力；三是AI与EDA仿真算力需求快速增长，传统计算架构难以满足；四是信创国产化改造需求迫切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（一）IT架构分层规划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基于青云KubeSphere企业版（KSE 4.2）和青云AI智算平台，为士兰微规划六层IT架构体系，以青云统一底座贯通各层级、赋能全业务。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rHeight w:val="567"/>
        </w:trPr>
        <w:tc>
          <w:tcPr>
            <w:tcW w:type="dxa" w:w="8504"/>
            <w:gridSpan w:val="3"/>
            <w:shd w:fill="1F4E79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士兰微IT架构分层体系（青云KubeSphere+AI智算平台统一底座）</w:t>
            </w:r>
          </w:p>
        </w:tc>
      </w:tr>
      <w:tr>
        <w:trPr>
          <w:trHeight w:val="680"/>
        </w:trPr>
        <w:tc>
          <w:tcPr>
            <w:tcW w:type="dxa" w:w="567"/>
            <w:shd w:fill="FCE4EC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sz w:val="24"/>
              </w:rPr>
              <w:t>六</w:t>
            </w:r>
          </w:p>
        </w:tc>
        <w:tc>
          <w:tcPr>
            <w:tcW w:type="dxa" w:w="3118"/>
            <w:shd w:fill="FCE4EC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六、数据安全与合规层</w:t>
            </w:r>
          </w:p>
        </w:tc>
        <w:tc>
          <w:tcPr>
            <w:tcW w:type="dxa" w:w="4819"/>
            <w:shd w:fill="FFFFFF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数据分级分类/访问控制与审计（IAM/SSO）| 网络安全防护（WAF/防火墙/IPS）| 数据备份容灾/等保合规</w:t>
            </w:r>
          </w:p>
        </w:tc>
      </w:tr>
      <w:tr>
        <w:trPr>
          <w:trHeight w:val="680"/>
        </w:trPr>
        <w:tc>
          <w:tcPr>
            <w:tcW w:type="dxa" w:w="567"/>
            <w:shd w:fill="E8F5E9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sz w:val="24"/>
              </w:rPr>
              <w:t>五</w:t>
            </w:r>
          </w:p>
        </w:tc>
        <w:tc>
          <w:tcPr>
            <w:tcW w:type="dxa" w:w="3118"/>
            <w:shd w:fill="E8F5E9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五、协同办公与门户层</w:t>
            </w:r>
          </w:p>
        </w:tc>
        <w:tc>
          <w:tcPr>
            <w:tcW w:type="dxa" w:w="4819"/>
            <w:shd w:fill="FFFFFF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OA审批流程/企业信息门户 | 邮件与即时通讯/视频会议 | HR行政管理</w:t>
            </w:r>
          </w:p>
        </w:tc>
      </w:tr>
      <w:tr>
        <w:trPr>
          <w:trHeight w:val="680"/>
        </w:trPr>
        <w:tc>
          <w:tcPr>
            <w:tcW w:type="dxa" w:w="567"/>
            <w:shd w:fill="FFF3E0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sz w:val="24"/>
              </w:rPr>
              <w:t>四</w:t>
            </w:r>
          </w:p>
        </w:tc>
        <w:tc>
          <w:tcPr>
            <w:tcW w:type="dxa" w:w="3118"/>
            <w:shd w:fill="FFF3E0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四、业务运营与管理层</w:t>
            </w:r>
          </w:p>
        </w:tc>
        <w:tc>
          <w:tcPr>
            <w:tcW w:type="dxa" w:w="4819"/>
            <w:shd w:fill="FFFFFF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ERP（财务/供应链/采购） | CRM/PLM/SCM | BI经营数据分析</w:t>
            </w:r>
          </w:p>
        </w:tc>
      </w:tr>
      <w:tr>
        <w:trPr>
          <w:trHeight w:val="680"/>
        </w:trPr>
        <w:tc>
          <w:tcPr>
            <w:tcW w:type="dxa" w:w="567"/>
            <w:shd w:fill="E3F2FD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sz w:val="24"/>
              </w:rPr>
              <w:t>三</w:t>
            </w:r>
          </w:p>
        </w:tc>
        <w:tc>
          <w:tcPr>
            <w:tcW w:type="dxa" w:w="3118"/>
            <w:shd w:fill="E3F2FD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三、生产执行与研发设计层（IDM核心）</w:t>
            </w:r>
          </w:p>
        </w:tc>
        <w:tc>
          <w:tcPr>
            <w:tcW w:type="dxa" w:w="4819"/>
            <w:shd w:fill="FFFFFF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MES制造执行/SPC | CIM设备自动化/YMS良率 | EDA芯片设计/AI辅助设计</w:t>
            </w:r>
          </w:p>
        </w:tc>
      </w:tr>
      <w:tr>
        <w:trPr>
          <w:trHeight w:val="680"/>
        </w:trPr>
        <w:tc>
          <w:tcPr>
            <w:tcW w:type="dxa" w:w="567"/>
            <w:shd w:fill="F3E5F5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sz w:val="24"/>
              </w:rPr>
              <w:t>二</w:t>
            </w:r>
          </w:p>
        </w:tc>
        <w:tc>
          <w:tcPr>
            <w:tcW w:type="dxa" w:w="3118"/>
            <w:shd w:fill="F3E5F5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二、基础设施与云平台层（青云统一底座）</w:t>
            </w:r>
          </w:p>
        </w:tc>
        <w:tc>
          <w:tcPr>
            <w:tcW w:type="dxa" w:w="4819"/>
            <w:shd w:fill="FFFFFF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KubeSphere多集群管理/全栈可观测 | GPU调度/AI智算平台 | DevOps/信创适配</w:t>
            </w:r>
          </w:p>
        </w:tc>
      </w:tr>
      <w:tr>
        <w:trPr>
          <w:trHeight w:val="680"/>
        </w:trPr>
        <w:tc>
          <w:tcPr>
            <w:tcW w:type="dxa" w:w="567"/>
            <w:shd w:fill="E0E0E0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sz w:val="24"/>
              </w:rPr>
              <w:t>一</w:t>
            </w:r>
          </w:p>
        </w:tc>
        <w:tc>
          <w:tcPr>
            <w:tcW w:type="dxa" w:w="3118"/>
            <w:shd w:fill="E0E0E0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sz w:val="20"/>
              </w:rPr>
              <w:t>一、硬件与网络层</w:t>
            </w:r>
          </w:p>
        </w:tc>
        <w:tc>
          <w:tcPr>
            <w:tcW w:type="dxa" w:w="4819"/>
            <w:shd w:fill="FFFFFF"/>
            <w:vAlign w:val="center"/>
            <w:tcBorders>
              <w:top w:val="single" w:sz="4" w:color="4472C4"/>
              <w:left w:val="single" w:sz="4" w:color="4472C4"/>
              <w:bottom w:val="single" w:sz="4" w:color="4472C4"/>
              <w:right w:val="single" w:sz="4" w:color="4472C4"/>
            </w:tcBorders>
          </w:tcPr>
          <w:p>
            <w:pPr>
              <w:spacing w:before="20" w:after="20" w:line="280" w:lineRule="exact"/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sz w:val="18"/>
              </w:rPr>
              <w:t>x86/ARM/信创计算服务器 | GPU算力集群/存储设备 | 万兆网络/三地数据中心</w:t>
            </w:r>
          </w:p>
        </w:tc>
      </w:tr>
    </w:tbl>
    <w:p>
      <w:pPr>
        <w:spacing w:before="40" w:after="240"/>
        <w:ind w:firstLine="0"/>
        <w:jc w:val="center"/>
      </w:pPr>
      <w:r>
        <w:rPr>
          <w:rFonts w:ascii="仿宋" w:hAnsi="仿宋" w:eastAsia="仿宋"/>
          <w:sz w:val="20"/>
        </w:rPr>
        <w:t>图二  士兰微IT架构分层示意图（青云KubeSphere+AI智算平台统一底座）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第一层：硬件与网络层。包括x86/ARM/信创计算服务器、GPU算力集群（训练卡/推理卡）、全闪/混闪/对象存储设备、万兆/IB高速网络、三地数据中心（杭州/成都/厦门）。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二层：基础设施与云平台层。以青云KubeSphere企业版为容器云底座，提供多集群统一管理、全栈可观测性、DevOps自动化流水线；以青云AI智算平台提供GPU调度、AI训练推理、模型全生命周期管理；以青云软件定义存储提供分布式存储与备份容灾能力；全面支持信创国产化适配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第三层：生产执行与研发设计层。包括MES制造执行系统（工单管理、追溯、SPC）、EDA芯片设计与仿真平台、CIM设备自动化系统、YMS良率管理分析、AI辅助设计等，是半导体IDM企业的核心生产力层。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第四层：业务运营与管理层。包括ERP（财务/供应链/采购）、CRM客户关系管理、PLM产品全生命周期管理、SCM供应商管理、BI经营数据分析等，实现业务端到端数字化管理。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第五层：协同办公与门户层。涵盖OA审批流程、企业信息门户、邮件与即时通讯、视频会议系统、HR行政系统等，支撑企业日常办公与协作需求。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第六层：数据安全与合规层。覆盖数据分级分类、访问控制与审计（IAM/SSO）、网络安全防护（WAF/防火墙/IPS）、数据备份与容灾、等保合规审计等。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四、青云KubeSphere+AI智算平台方案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（一）KubeSphere企业版核心能力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KubeSphere企业版（KSE 4.2）是青云科技打造的新一代云原生操作系统，基于KubeSphere LuBan可扩展开放架构，在Kubernetes之上深度融合多云管理、微服务治理、应用可观测等核心能力。针对士兰微的实际需求，核心匹配能力如下。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一是多集群统一管理。实现杭州、成都、厦门三地集群的统一纳管与策略统一下发，消除信息孤岛，实现集团级资源管控。二是全栈可观测性。提供多维度监控告警、日志审计、链路追踪，保障生产系统SLA，支撑运维团队快速定位问题。三是GPU调度管理。支持GPU资源的细粒度调度与监控，满足AI与EDA仿真算力需求。四是易捷版DevOps。内置CI/CD流水线，加速芯片设计迭代与交付效率。五是多租户与权限管理。按业务线（研发/制造/运营）进行资源隔离与配额管理，满足多部门共享平台需求。六是应用商店。提供Helm应用一键部署，加速中间件（Redis、RocketMQ等）的交付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（二）青云AI智算平台能力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青云AI智算平台基于统一全栈架构打造AI算力底座，具备异构算力调度能力，可有效支撑士兰微在EDA仿真加速、芯片设计优化、良率预测分析、智能排产等场景的AI算力需求。平台支持GPU、NPU、CPU混合调度，提供训练任务管理与资源配额管控，内置算法开发环境与模型管理，并与KubeSphere容器平台深度集成，实现算力资源的统一运营与调度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（三）信创国产化支持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青云KubeSphere企业版全面支持信创国产化，已完成与鲲鹏、飞腾、海光等国产CPU及麒麟、统信等国产操作系统的适配认证，满足士兰微作为半导体行业重点企业的信创改造需求。青云科技已入选年度十大信创云品牌，在国家电网、金融等行业积累了丰富的信创落地经验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五、方案价值总结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通过部署青云KubeSphere企业版及AI智算平台，可为士兰微带来以下核心价值。一是实现多基地IT基础设施统一管理，降低运维复杂度与人力成本。二是构建企业级AI算力底座，加速EDA仿真与AI辅助设计进程。三是提升生产系统可用性与可观测性，保障制造业务连续性。四是满足信创国产化合规要求，平滑推进自主可控进程。五是降低整体IT建设成本，实现从资源消耗型向平台运营型转变。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560" w:lineRule="exact"/>
      <w:ind w:firstLine="640"/>
    </w:pPr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