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仿宋" w:hAnsi="仿宋" w:eastAsia="仿宋"/>
          <w:b/>
          <w:sz w:val="52"/>
        </w:rPr>
        <w:t>青云AI智算平台</w:t>
      </w:r>
    </w:p>
    <w:p>
      <w:pPr>
        <w:jc w:val="center"/>
      </w:pPr>
      <w:r>
        <w:rPr>
          <w:rFonts w:ascii="仿宋" w:hAnsi="仿宋" w:eastAsia="仿宋"/>
          <w:b/>
          <w:sz w:val="40"/>
        </w:rPr>
        <w:t>8GPU节点软件模块报价清单</w:t>
      </w:r>
    </w:p>
    <w:p/>
    <w:p/>
    <w:p/>
    <w:p/>
    <w:p>
      <w:pPr>
        <w:ind w:firstLine="0"/>
        <w:jc w:val="center"/>
      </w:pPr>
      <w:r>
        <w:rPr>
          <w:rFonts w:ascii="仿宋" w:hAnsi="仿宋" w:eastAsia="仿宋"/>
        </w:rPr>
        <w:t>报价编号：QF-2026-0618-SW</w:t>
      </w:r>
    </w:p>
    <w:p>
      <w:pPr>
        <w:ind w:firstLine="0"/>
        <w:jc w:val="center"/>
      </w:pPr>
      <w:r>
        <w:rPr>
          <w:rFonts w:ascii="仿宋" w:hAnsi="仿宋" w:eastAsia="仿宋"/>
        </w:rPr>
        <w:t>报价日期：2026年6月18日</w:t>
      </w:r>
    </w:p>
    <w:p>
      <w:pPr>
        <w:ind w:firstLine="0"/>
        <w:jc w:val="center"/>
      </w:pPr>
      <w:r>
        <w:rPr>
          <w:rFonts w:ascii="仿宋" w:hAnsi="仿宋" w:eastAsia="仿宋"/>
        </w:rPr>
        <w:t>报价方：青云科技股份有限公司</w:t>
      </w:r>
    </w:p>
    <w:p>
      <w:r>
        <w:br w:type="page"/>
      </w:r>
    </w:p>
    <w:p>
      <w:pPr>
        <w:pStyle w:val="Heading1"/>
      </w:pPr>
      <w:r>
        <w:t>报价说明</w:t>
      </w:r>
    </w:p>
    <w:p>
      <w:r>
        <w:rPr>
          <w:rFonts w:ascii="仿宋" w:hAnsi="仿宋" w:eastAsia="仿宋"/>
        </w:rPr>
        <w:t>尊敬的客户：</w:t>
      </w:r>
    </w:p>
    <w:p>
      <w:r>
        <w:rPr>
          <w:rFonts w:ascii="仿宋" w:hAnsi="仿宋" w:eastAsia="仿宋"/>
        </w:rPr>
        <w:t>根据贵司AI智算平台建设需求，现提交青云AI智算平台软件产品报价。本报价仅包含平台软件License授权及实施服务，不包含GPU服务器硬件、网络设备及第三方存储硬件。报价依据青云AI智算平台产品服务定价单V2.27。</w:t>
      </w:r>
    </w:p>
    <w:p>
      <w:r>
        <w:rPr>
          <w:rFonts w:ascii="仿宋" w:hAnsi="仿宋" w:eastAsia="仿宋"/>
        </w:rPr>
        <w:t>报价分为两部分：第一部分为"必选模块"，是AI智算平台运行的核心基础组件；第二部分为"可选模块"，贵司可根据实际业务需求自主选择。各模块功能说明均详细列出，方便贵司评估。</w:t>
      </w:r>
    </w:p>
    <w:p>
      <w:r>
        <w:rPr>
          <w:rFonts w:ascii="仿宋" w:hAnsi="仿宋" w:eastAsia="仿宋"/>
        </w:rPr>
        <w:t>本报价有效期为三个月。</w:t>
      </w:r>
    </w:p>
    <w:p>
      <w:pPr>
        <w:pStyle w:val="Heading1"/>
      </w:pPr>
      <w:r>
        <w:t>第一部分：必选模块</w:t>
      </w:r>
    </w:p>
    <w:p>
      <w:r>
        <w:rPr>
          <w:rFonts w:ascii="仿宋" w:hAnsi="仿宋" w:eastAsia="仿宋"/>
        </w:rPr>
        <w:t>以下两个模块为AI智算平台运行的核心基础组件，所有应用场景均需采购。按8GPU节点授权计费，软件License买断（一次性费用，含首年软件维保）。</w:t>
      </w:r>
    </w:p>
    <w:p>
      <w:pPr>
        <w:pStyle w:val="Heading2"/>
      </w:pPr>
      <w:r>
        <w:t>1.1 基础平台</w:t>
      </w:r>
    </w:p>
    <w:p>
      <w:r>
        <w:rPr>
          <w:rFonts w:ascii="仿宋" w:hAnsi="仿宋" w:eastAsia="仿宋"/>
        </w:rPr>
        <w:t>功能概述：AI智算平台的底层基础，提供完整的Kubernetes集群管理能力和多租户资源管控体系。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集群管理：支持K8s集群的创建、扩缩容、升级、销毁全生命周期管理，纳管GPU服务器节点，自动发现GPU资源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节点管理：GPU服务器节点的纳管、标签管理、污点调度、资源预留，实时监控节点健康状态</w:t>
      </w:r>
    </w:p>
    <w:p>
      <w:pPr>
        <w:ind w:firstLine="0" w:left="283"/>
      </w:pPr>
      <w:r>
        <w:rPr>
          <w:rFonts w:ascii="仿宋" w:hAnsi="仿宋" w:eastAsia="仿宋"/>
          <w:sz w:val="22"/>
        </w:rPr>
        <w:t>GPU监控：GPU使用率、显存占用、温度、功率等指标的实时采集与多维度可视化展示，支持历史趋势查询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日志管理：集群日志、应用日志、审计日志的集中采集、存储和检索，支持关键字搜索和日志导出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镜像仓库：内置Harbor镜像仓库，支持Docker/OCI镜像的推送、拉取、版本管理、安全扫描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团队管理：多层级组织架构管理，支持团队创建、成员邀请、角色权限分配（Admin/Developer/Viewer）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资源组：GPU资源的分组管理，支持按项目/部门划分资源池，实现资源隔离和配额管控</w:t>
      </w:r>
    </w:p>
    <w:p>
      <w:pPr>
        <w:ind w:firstLine="0" w:left="283"/>
      </w:pPr>
      <w:r>
        <w:rPr>
          <w:rFonts w:ascii="仿宋" w:hAnsi="仿宋" w:eastAsia="仿宋"/>
          <w:sz w:val="22"/>
        </w:rPr>
        <w:t>RBAC权限：基于角色的细粒度访问控制，支持自定义角色，操作级权限管控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基础平台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¥8,000</w:t>
            </w:r>
          </w:p>
        </w:tc>
      </w:tr>
    </w:tbl>
    <w:p/>
    <w:p>
      <w:pPr>
        <w:pStyle w:val="Heading2"/>
      </w:pPr>
      <w:r>
        <w:t>1.2 GPU计算模块</w:t>
      </w:r>
    </w:p>
    <w:p>
      <w:r>
        <w:rPr>
          <w:rFonts w:ascii="仿宋" w:hAnsi="仿宋" w:eastAsia="仿宋"/>
        </w:rPr>
        <w:t>功能概述：面向AI开发者的算力服务能力层，提供容器化的GPU计算实例和完整的开发环境支持。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容器实例：基于Kubernetes的GPU容器调度，支持GPU独占和共享模式，秒级启动训练/推理任务</w:t>
      </w:r>
    </w:p>
    <w:p>
      <w:pPr>
        <w:ind w:firstLine="0" w:left="283"/>
      </w:pPr>
      <w:r>
        <w:rPr>
          <w:rFonts w:ascii="仿宋" w:hAnsi="仿宋" w:eastAsia="仿宋"/>
          <w:sz w:val="22"/>
        </w:rPr>
        <w:t>SSH直连：为每个容器实例分配独立SSH访问入口，支持密钥认证，方便远程调试和代码开发</w:t>
      </w:r>
    </w:p>
    <w:p>
      <w:pPr>
        <w:ind w:firstLine="0" w:left="283"/>
      </w:pPr>
      <w:r>
        <w:rPr>
          <w:rFonts w:ascii="仿宋" w:hAnsi="仿宋" w:eastAsia="仿宋"/>
          <w:sz w:val="22"/>
        </w:rPr>
        <w:t>JupyterLab集成：内置JupyterLab开发环境，支持Notebook交互式编程，预装PyTorch/TensorFlow等框架</w:t>
      </w:r>
    </w:p>
    <w:p>
      <w:pPr>
        <w:ind w:firstLine="0" w:left="283"/>
      </w:pPr>
      <w:r>
        <w:rPr>
          <w:rFonts w:ascii="仿宋" w:hAnsi="仿宋" w:eastAsia="仿宋"/>
          <w:sz w:val="22"/>
        </w:rPr>
        <w:t>VSCode远程开发：集成code-server，提供浏览器端VSCode开发环境，支持插件安装和终端操作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实例生命周期管理：支持开机、关机、重启、重置等操作，关机后不计GPU费用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规格变更：支持在线调整CPU/内存配置，无需重创实例，灵活应对不同计算需求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环境变量管理：支持容器实例的自定义环境变量注入，方便配置API Key、模型路径等参数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存储挂载：支持将分布式存储卷挂载到容器实例，实现训练数据的共享和持久化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租户隔离：基于K8s Namespace的严格租户隔离，不同团队间的实例互不可见，保障数据安全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¥1,440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必选模块合计</w:t>
            </w:r>
          </w:p>
        </w:tc>
        <w:tc>
          <w:tcPr>
            <w:tcW w:type="dxa" w:w="1417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113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680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113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113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¥19,520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第二部分：可选模块</w:t>
      </w:r>
    </w:p>
    <w:p>
      <w:r>
        <w:rPr>
          <w:rFonts w:ascii="仿宋" w:hAnsi="仿宋" w:eastAsia="仿宋"/>
        </w:rPr>
        <w:t>以下模块贵司可根据实际业务需求自主选择。每个模块均附详细功能说明，方便贵司评估。推荐等级由青云根据华孚业务场景评估得出。</w:t>
      </w:r>
    </w:p>
    <w:p>
      <w:pPr>
        <w:pStyle w:val="Heading2"/>
      </w:pPr>
      <w:r>
        <w:t>2.1 分布式训练模块</w:t>
      </w:r>
    </w:p>
    <w:p>
      <w:r>
        <w:rPr>
          <w:rFonts w:ascii="仿宋" w:hAnsi="仿宋" w:eastAsia="仿宋"/>
        </w:rPr>
        <w:t>推荐等级：★★★★★（强烈推荐——如华孚需要提供大模型训练/微调服务，此模块为必备）</w:t>
      </w:r>
    </w:p>
    <w:p>
      <w:r>
        <w:rPr>
          <w:rFonts w:ascii="仿宋" w:hAnsi="仿宋" w:eastAsia="仿宋"/>
        </w:rPr>
        <w:t>功能概述：面向大模型分布式训练场景，提供多机多卡训练任务的编排调度和全生命周期管理。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单机多卡训练：支持单节点内多GPU的分布式训练（PyTorch DDP/DeepSpeed），自动分配GPU拓扑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多机多卡训练：支持跨节点的分布式训练任务，基于RDMA网络实现高速通信，支持数据并行+模型并行+流水线并行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训练框架集成：原生支持PyTorch、TensorFlow、DeepSpeed、Megatron-LM等主流分布式训练框架</w:t>
      </w:r>
    </w:p>
    <w:p>
      <w:pPr>
        <w:ind w:firstLine="0" w:left="283"/>
      </w:pPr>
      <w:r>
        <w:rPr>
          <w:rFonts w:ascii="仿宋" w:hAnsi="仿宋" w:eastAsia="仿宋"/>
          <w:sz w:val="22"/>
        </w:rPr>
        <w:t>优先级排队：训练任务按优先级排队调度，支持抢占式调度，高优任务可抢占低优任务资源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故障容错：训练任务断点自动检测和恢复，支持训练任务的高可用机制，减少算力浪费</w:t>
      </w:r>
    </w:p>
    <w:p>
      <w:pPr>
        <w:ind w:firstLine="0" w:left="283"/>
      </w:pPr>
      <w:r>
        <w:rPr>
          <w:rFonts w:ascii="仿宋" w:hAnsi="仿宋" w:eastAsia="仿宋"/>
          <w:sz w:val="22"/>
        </w:rPr>
        <w:t>任务日志：训练过程中的日志实时采集和展示，支持Loss曲线可视化、训练进度追踪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训练模板：支持将常用训练配置保存为模板，方便团队复用和标准化训练流程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资源监控：训练任务的GPU使用率、显存占用、网络带宽、存储IO等指标实时监控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分布式训练模块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¥2,100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</w:tr>
    </w:tbl>
    <w:p/>
    <w:p>
      <w:pPr>
        <w:pStyle w:val="Heading2"/>
      </w:pPr>
      <w:r>
        <w:t>2.2 分布式推理模块</w:t>
      </w:r>
    </w:p>
    <w:p>
      <w:r>
        <w:rPr>
          <w:rFonts w:ascii="仿宋" w:hAnsi="仿宋" w:eastAsia="仿宋"/>
        </w:rPr>
        <w:t>推荐等级：★★★★★（强烈推荐——如需对外提供模型推理服务或部署大模型API，此模块为核心）</w:t>
      </w:r>
    </w:p>
    <w:p>
      <w:r>
        <w:rPr>
          <w:rFonts w:ascii="仿宋" w:hAnsi="仿宋" w:eastAsia="仿宋"/>
        </w:rPr>
        <w:t>功能概述：企业级大模型推理服务平台，提供模型部署、推理引擎调度和API服务管理。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模型广场：内置模型市场，支持从HuggingFace/ModelScope一键导入开源模型，模型版本管理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推理引擎：集成vLLM、TGI、TensorRT-LLM等高性能推理引擎，支持FP16/INT8/FP8量化推理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多节点部署：大模型推理服务支持跨GPU节点分布式部署，自动负载均衡，支持模型分片（张量并行+流水线并行）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API Key管理：支持多用户/多应用的API Key生成、权限管理、限流配置、调用统计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服务监控：推理服务的QPS、延迟（P50/P95/P99）、成功率等SLA指标实时监控和告警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自动扩缩容：基于实时负载指标的推理服务自动弹性伸缩，高峰自动扩容，低谷自动缩容节省算力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服务版本管理：推理服务的多版本管理和灰度发布，支持A/B测试和版本回滚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模型热加载：模型更新支持热加载，无需重启推理服务，保障业务连续性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分布式推理模块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¥2,100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</w:tr>
    </w:tbl>
    <w:p/>
    <w:p>
      <w:pPr>
        <w:pStyle w:val="Heading2"/>
      </w:pPr>
      <w:r>
        <w:t>2.3 大模型MaaS服务模块</w:t>
      </w:r>
    </w:p>
    <w:p>
      <w:r>
        <w:rPr>
          <w:rFonts w:ascii="仿宋" w:hAnsi="仿宋" w:eastAsia="仿宋"/>
        </w:rPr>
        <w:t>推荐等级：★★★★★（重中之重——对外提供MaaS商业化服务的核心模块，需联合购买分布式推理模块）</w:t>
      </w:r>
    </w:p>
    <w:p>
      <w:r>
        <w:rPr>
          <w:rFonts w:ascii="仿宋" w:hAnsi="仿宋" w:eastAsia="仿宋"/>
        </w:rPr>
        <w:t>功能概述：面向MaaS（Model as a Service）运营场景，提供模型商品化上架、API服务和计量计费能力。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模型上架：将已部署的推理模型包装为标准API服务，支持自定义服务名称、描述、定价策略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在线推理服务：提供兼容OpenAI格式的RESTful API接口，支持流式输出（Server-Sent Events）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负载均衡：多副本推理服务的请求分发和负载均衡，支持权重路由和一致性哈希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用量统计：每用户/每API Key的Token消耗量、请求次数、并发数等用量数据的实时统计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限速控制：支持按用户/按API Key的QPS和TPM限速配置，保障服务质量，防止滥用</w:t>
      </w:r>
    </w:p>
    <w:p>
      <w:pPr>
        <w:ind w:firstLine="0" w:left="283"/>
      </w:pPr>
      <w:r>
        <w:rPr>
          <w:rFonts w:ascii="仿宋" w:hAnsi="仿宋" w:eastAsia="仿宋"/>
          <w:sz w:val="22"/>
        </w:rPr>
        <w:t>Token计费：支持按Token输入/输出分别计费，可配置阶梯定价、缓存命中折扣等多种计费策略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套餐管理：支持预付费套餐包（包月/包年）和按量后付费两种计费模式，套餐用量自动抵扣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运营报表：提供多维度运营数据报表，包括调用量趋势、用户活跃度、收入统计等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大模型MaaS服务模块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¥900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¥7,200</w:t>
            </w:r>
          </w:p>
        </w:tc>
      </w:tr>
    </w:tbl>
    <w:p/>
    <w:p>
      <w:pPr>
        <w:ind w:firstLine="0"/>
      </w:pPr>
      <w:r>
        <w:rPr>
          <w:rFonts w:ascii="仿宋" w:hAnsi="仿宋" w:eastAsia="仿宋"/>
          <w:i/>
          <w:color w:val="666666"/>
          <w:sz w:val="18"/>
        </w:rPr>
        <w:t>说明：大模型MaaS服务模块必须与分布式推理模块联合购买，不可单独采购。</w:t>
      </w:r>
    </w:p>
    <w:p>
      <w:pPr>
        <w:pStyle w:val="Heading2"/>
      </w:pPr>
      <w:r>
        <w:t>2.4 GPU池化模块</w:t>
      </w:r>
    </w:p>
    <w:p>
      <w:r>
        <w:rPr>
          <w:rFonts w:ascii="仿宋" w:hAnsi="仿宋" w:eastAsia="仿宋"/>
        </w:rPr>
        <w:t>推荐等级：★★★★（推荐——如需将大显存GPU切分为多个小显存实例供多用户共享使用）</w:t>
      </w:r>
    </w:p>
    <w:p>
      <w:r>
        <w:rPr>
          <w:rFonts w:ascii="仿宋" w:hAnsi="仿宋" w:eastAsia="仿宋"/>
        </w:rPr>
        <w:t>功能概述：GPU资源细粒度切分和共享能力，提升GPU利用率，降低单用户算力成本。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vGPU显存切分：支持以1GB为粒度对GPU显存进行切分，一块80GB显存的GPU可切分为多个小显存实例</w:t>
      </w:r>
    </w:p>
    <w:p>
      <w:pPr>
        <w:ind w:firstLine="0" w:left="283"/>
      </w:pPr>
      <w:r>
        <w:rPr>
          <w:rFonts w:ascii="仿宋" w:hAnsi="仿宋" w:eastAsia="仿宋"/>
          <w:sz w:val="22"/>
        </w:rPr>
        <w:t>CUDA拦截：基于CUDA API拦截技术实现显存隔离，无需修改上层应用代码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算力限制：支持对每个vGPU实例的计算能力进行限制（MPS控制），防止单个实例抢占全部算力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热迁移：vGPU实例支持热迁移，当物理GPU故障时可自动迁移到其他GPU，保障业务连续性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多卡共享：支持多用户共享同一物理GPU，每个用户独享分配的显存空间，互不干扰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兼容性：兼容主流深度学习框架（PyTorch/TensorFlow/PaddlePaddle等），无需额外适配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GPU池化模块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¥6,000</w:t>
            </w:r>
          </w:p>
        </w:tc>
      </w:tr>
    </w:tbl>
    <w:p/>
    <w:p>
      <w:pPr>
        <w:pStyle w:val="Heading2"/>
      </w:pPr>
      <w:r>
        <w:t>2.5 运营模块</w:t>
      </w:r>
    </w:p>
    <w:p>
      <w:r>
        <w:rPr>
          <w:rFonts w:ascii="仿宋" w:hAnsi="仿宋" w:eastAsia="仿宋"/>
        </w:rPr>
        <w:t>推荐等级：★★★★（推荐——如AI算力平台需要对外运营、计费和收费）</w:t>
      </w:r>
    </w:p>
    <w:p>
      <w:r>
        <w:rPr>
          <w:rFonts w:ascii="仿宋" w:hAnsi="仿宋" w:eastAsia="仿宋"/>
          <w:b/>
        </w:rPr>
        <w:t>（一）运营模块-计量模块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用户配额管理：支持按用户/团队设置GPU使用配额上限，包括卡时限额、并发任务数限制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卡时统计：GPU卡时（GPU卡×小时）使用量的精确统计，支持按用户/项目/GPU型号多维度汇总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核时统计：CPU核时使用量的精确统计，配合卡时数据为混合计费提供依据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运营报表：自动生成日/周/月运营报表，包括资源利用率Top用户、空闲资源分析等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用量预警：支持设置用量阈值，当用户或团队用量接近配额上限时自动发送预警通知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运营模块-计量模块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¥1,500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¥12,000</w:t>
            </w:r>
          </w:p>
        </w:tc>
      </w:tr>
    </w:tbl>
    <w:p/>
    <w:p>
      <w:r>
        <w:rPr>
          <w:rFonts w:ascii="仿宋" w:hAnsi="仿宋" w:eastAsia="仿宋"/>
          <w:b/>
        </w:rPr>
        <w:t>（二）运营模块-财务模块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支付宝充值：集成支付宝支付接口，用户可自助充值到平台账户余额，自动生成充值记录和发票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钱包管理：用户账户余额查询、消费明细、充值记录、退款申请等自助财务管理功能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账单生成：每月自动生成用户消费账单，支持按项目/按GPU型号的费用分摊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发票管理：支持在线申请开票，自动关联充值记录和消费记录，财务对账自动化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定价策略配置：支持自定义各模块/各GPU型号的售价、折扣时段、促销活动等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运营模块-财务模块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¥1,438.5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¥11,508</w:t>
            </w:r>
          </w:p>
        </w:tc>
      </w:tr>
    </w:tbl>
    <w:p/>
    <w:p>
      <w:pPr>
        <w:pStyle w:val="Heading2"/>
      </w:pPr>
      <w:r>
        <w:t>2.6 并行文件存储服务模块</w:t>
      </w:r>
    </w:p>
    <w:p>
      <w:r>
        <w:rPr>
          <w:rFonts w:ascii="仿宋" w:hAnsi="仿宋" w:eastAsia="仿宋"/>
        </w:rPr>
        <w:t>推荐等级：★★★（按需选择——如需对接外部并行文件系统）</w:t>
      </w:r>
    </w:p>
    <w:p>
      <w:r>
        <w:rPr>
          <w:rFonts w:ascii="仿宋" w:hAnsi="仿宋" w:eastAsia="仿宋"/>
        </w:rPr>
        <w:t>功能概述：与外部并行文件存储系统的集成对接，提供数据上传下载和配额管理能力。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存储对接：支持对接GPFS、Lustre、JuiceFS、MinIO等主流并行/分布式文件系统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数据管理：数据集的上传、下载、目录浏览、文件预览等基础数据管理功能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配额管理：按用户/团队设置存储使用配额，自动统计存储使用量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数据共享：支持训练数据集在团队内共享，避免重复拷贝，节省存储空间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数据安全：存储访问权限控制，支持只读/读写权限分离，数据加密传输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并行文件存储服务模块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¥4,800</w:t>
            </w:r>
          </w:p>
        </w:tc>
      </w:tr>
    </w:tbl>
    <w:p/>
    <w:p>
      <w:r>
        <w:br w:type="page"/>
      </w:r>
    </w:p>
    <w:p>
      <w:pPr>
        <w:pStyle w:val="Heading1"/>
      </w:pPr>
      <w:r>
        <w:t>实施服务</w:t>
      </w:r>
    </w:p>
    <w:p>
      <w:r>
        <w:rPr>
          <w:rFonts w:ascii="仿宋" w:hAnsi="仿宋" w:eastAsia="仿宋"/>
        </w:rPr>
        <w:t>以下为AI智算平台的部署实施和培训服务。实施服务为必选项（10人天起），按标准人天单价计费。</w:t>
      </w:r>
    </w:p>
    <w:p>
      <w:pPr>
        <w:pStyle w:val="Heading2"/>
      </w:pPr>
      <w:r>
        <w:t>平台实施服务</w:t>
      </w:r>
    </w:p>
    <w:p>
      <w:r>
        <w:rPr>
          <w:rFonts w:ascii="仿宋" w:hAnsi="仿宋" w:eastAsia="仿宋"/>
        </w:rPr>
        <w:t>服务内容：</w:t>
      </w:r>
    </w:p>
    <w:p>
      <w:pPr>
        <w:ind w:firstLine="0" w:left="283"/>
      </w:pPr>
      <w:r>
        <w:rPr>
          <w:rFonts w:ascii="仿宋" w:hAnsi="仿宋" w:eastAsia="仿宋"/>
          <w:sz w:val="22"/>
        </w:rPr>
        <w:t>AI智算平台软件在客户服务器上的完整部署和配置</w:t>
      </w:r>
    </w:p>
    <w:p>
      <w:pPr>
        <w:ind w:firstLine="0" w:left="283"/>
      </w:pPr>
      <w:r>
        <w:rPr>
          <w:rFonts w:ascii="仿宋" w:hAnsi="仿宋" w:eastAsia="仿宋"/>
          <w:sz w:val="22"/>
        </w:rPr>
        <w:t>GPU驱动、CUDA工具包、NVIDIA容器工具包的安装和版本匹配调优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分布式训练环境配置验证，包含RDMA网络和存储挂载的性能测试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推理引擎（vLLM/TensorRT-LLM）的安装部署和配置优化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平台功能验收测试，输出《平台部署验收报告》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客户运维团队上机操作培训（2天），含平台管理、故障排查、日常运维等内容</w:t>
      </w:r>
    </w:p>
    <w:p>
      <w:pPr>
        <w:ind w:firstLine="0" w:left="283"/>
      </w:pPr>
      <w:r>
        <w:rPr>
          <w:rFonts w:ascii="仿宋" w:hAnsi="仿宋" w:eastAsia="仿宋"/>
          <w:sz w:val="22"/>
        </w:rPr>
        <w:t>5天驻场实施 + 1天远程支持，总计10人天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服务项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平台实施服务（含培训）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人天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¥5,500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¥55,000</w:t>
            </w:r>
          </w:p>
        </w:tc>
      </w:tr>
    </w:tbl>
    <w:p/>
    <w:p>
      <w:r>
        <w:rPr>
          <w:rFonts w:ascii="仿宋" w:hAnsi="仿宋" w:eastAsia="仿宋"/>
        </w:rPr>
        <w:t>维保服务：首年免费，含版本升级和7×12小时技术支持。第2年起按软件模块授权费总额的10%/年续费。</w:t>
      </w:r>
    </w:p>
    <w:p>
      <w:pPr>
        <w:pStyle w:val="Heading2"/>
      </w:pPr>
      <w:r>
        <w:t>第三方可选服务</w:t>
      </w:r>
    </w:p>
    <w:p>
      <w:r>
        <w:rPr>
          <w:rFonts w:ascii="仿宋" w:hAnsi="仿宋" w:eastAsia="仿宋"/>
        </w:rPr>
        <w:t>以下服务按需选用，按次或按人天计费：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服务项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额外技术支持人天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人天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¥5,500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超出10人天后的额外部署/运维支持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第三方存储系统对接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¥7,500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对接客户已有的GPFS/Lustre/JuiceFS等存储系统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国产GPU适配服务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¥7,500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适配昇腾910/寒武纪/摩尔线程等国产GPU硬件</w:t>
            </w:r>
          </w:p>
        </w:tc>
      </w:tr>
    </w:tbl>
    <w:p/>
    <w:p>
      <w:r>
        <w:br w:type="page"/>
      </w:r>
    </w:p>
    <w:p>
      <w:pPr>
        <w:pStyle w:val="Heading1"/>
      </w:pPr>
      <w:r>
        <w:t>推荐方案汇总</w:t>
      </w:r>
    </w:p>
    <w:p>
      <w:r>
        <w:rPr>
          <w:rFonts w:ascii="仿宋" w:hAnsi="仿宋" w:eastAsia="仿宋"/>
        </w:rPr>
        <w:t>根据华孚的业务规划，青云推荐以下两套方案供参考：</w:t>
      </w:r>
    </w:p>
    <w:p>
      <w:pPr>
        <w:pStyle w:val="Heading2"/>
      </w:pPr>
      <w:r>
        <w:t>方案一：MaaS平台运营方案（推荐华孚优先考虑）</w:t>
      </w:r>
    </w:p>
    <w:p>
      <w:r>
        <w:rPr>
          <w:rFonts w:ascii="仿宋" w:hAnsi="仿宋" w:eastAsia="仿宋"/>
        </w:rPr>
        <w:t>适用场景：华孚利用AI智算平台对外提供大模型API服务（MaaS模式），如部署DeepSeek、千问等模型并面向行业客户按Token收费。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模块/服务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必选/推荐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金额（元）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基础平台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K8s集群管理、GPU监控、多租户权限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容器实例、SSH/Jupyter、存储挂载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分布式推理模块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模型部署、vLLM引擎、自动扩缩容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大模型MaaS服务模块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¥7,200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API服务、Token计费、套餐管理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平台实施服务（10人天）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¥55,000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部署+调优+培训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核心必选合计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¥98,520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MaaS运营基础能力，开箱即用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GPU池化模块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GPU显存切分、资源共享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运营模块-计量模块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用户配额、卡时统计、运营报表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运营模块-财务模块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☆ 可选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¥11,508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支付宝充值、钱包、账单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并行文件存储服务模块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☆ 可选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对接GPFS/Lustre等存储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推荐全套合计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¥132,828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含所有推荐模块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方案一总价</w:t>
            </w:r>
          </w:p>
        </w:tc>
        <w:tc>
          <w:tcPr>
            <w:tcW w:type="dxa" w:w="3969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核心必选（基础平台+GPU计算+分布式推理+MaaS服务+实施）</w:t>
            </w:r>
          </w:p>
        </w:tc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¥98,520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推荐全套（含池化、计量等6个推荐模块）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¥132,828</w:t>
            </w:r>
          </w:p>
        </w:tc>
      </w:tr>
    </w:tbl>
    <w:p/>
    <w:p>
      <w:r>
        <w:rPr>
          <w:rFonts w:ascii="仿宋" w:hAnsi="仿宋" w:eastAsia="仿宋"/>
        </w:rPr>
        <w:t>核心必选¥98,520即可支撑华孚对外提供MaaS API服务，建议优先按此方案立项。</w:t>
      </w:r>
    </w:p>
    <w:p/>
    <w:p>
      <w:pPr>
        <w:pStyle w:val="Heading2"/>
      </w:pPr>
      <w:r>
        <w:t>方案二：训练与推理综合方案</w:t>
      </w:r>
    </w:p>
    <w:p>
      <w:r>
        <w:rPr>
          <w:rFonts w:ascii="仿宋" w:hAnsi="仿宋" w:eastAsia="仿宋"/>
        </w:rPr>
        <w:t>适用场景：华孚既要对外提供MaaS推理服务，又要对内进行大模型微调训练，需要完整的训推一体化平台。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模块/服务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必选/推荐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金额（元）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基础平台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K8s集群管理、GPU监控、多租户权限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容器实例、SSH/Jupyter、存储挂载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分布式训练模块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多机多卡训练、排队调度、故障容错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分布式推理模块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模型部署、vLLM引擎、自动扩缩容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平台实施服务（10人天）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¥55,000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部署+调优+培训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核心必选合计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¥116,120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训推一体化基础能力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GPU池化模块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GPU显存切分、资源共享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大模型MaaS服务模块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¥7,200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API服务、Token计费、套餐管理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并行文件存储服务模块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对接GPFS/Lustre等存储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运营模块-计量模块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☆ 可选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用户配额、卡时统计、运营报表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推荐全套合计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¥138,120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含所有推荐和大部分可选模块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方案二总价</w:t>
            </w:r>
          </w:p>
        </w:tc>
        <w:tc>
          <w:tcPr>
            <w:tcW w:type="dxa" w:w="3969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核心必选（基础平台+GPU计算+训练+推理+实施）</w:t>
            </w:r>
          </w:p>
        </w:tc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¥116,120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推荐全套（含池化、MaaS、存储等8个模块）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¥138,120</w:t>
            </w:r>
          </w:p>
        </w:tc>
      </w:tr>
    </w:tbl>
    <w:p/>
    <w:p>
      <w:r>
        <w:rPr>
          <w:rFonts w:ascii="仿宋" w:hAnsi="仿宋" w:eastAsia="仿宋"/>
        </w:rPr>
        <w:t>方案二比方案一增加了分布式训练模块（¥16,800），支持大模型微调和训练场景，建议有训练需求的客户选择。</w:t>
      </w:r>
    </w:p>
    <w:p/>
    <w:p>
      <w:r>
        <w:rPr>
          <w:rFonts w:ascii="仿宋" w:hAnsi="仿宋" w:eastAsia="仿宋"/>
          <w:b/>
        </w:rPr>
        <w:t>青云科技股份有限公司</w:t>
      </w:r>
    </w:p>
    <w:p>
      <w:r>
        <w:rPr>
          <w:rFonts w:ascii="仿宋" w:hAnsi="仿宋" w:eastAsia="仿宋"/>
        </w:rPr>
        <w:t>2026年6月18日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