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黑体" w:hAnsi="黑体" w:eastAsia="黑体"/>
          <w:b/>
          <w:sz w:val="44"/>
        </w:rPr>
        <w:t>智星云（AIGalaxy）详细情况报告</w:t>
      </w:r>
    </w:p>
    <w:p>
      <w:pPr>
        <w:spacing w:after="120"/>
        <w:ind w:firstLine="0"/>
        <w:jc w:val="center"/>
      </w:pPr>
      <w:r>
        <w:rPr>
          <w:rFonts w:ascii="仿宋" w:hAnsi="仿宋" w:eastAsia="仿宋"/>
          <w:sz w:val="32"/>
        </w:rPr>
        <w:t>——上海亘聪信息科技有限公司GPU算力服务平台调研报告</w:t>
      </w:r>
    </w:p>
    <w:p>
      <w:pPr>
        <w:spacing w:after="120"/>
        <w:ind w:firstLine="0"/>
        <w:jc w:val="center"/>
      </w:pPr>
      <w:r>
        <w:rPr>
          <w:rFonts w:ascii="仿宋" w:hAnsi="仿宋" w:eastAsia="仿宋"/>
          <w:sz w:val="32"/>
        </w:rPr>
        <w:t>文档版本：V1.0    编制日期：2026年6月12日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一、公司基本信息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（英文名AIGalaxy）是安诺其集团（股票代码：300067）全资子公司上海亘聪信息科技有限公司旗下的GPU算力服务平台。公司成立于2019年8月30日，总部位于上海市，是一家专注于算力加速服务和算力管理的高科技企业，核心团队成员来自英伟达、阿里云等企业，多人拥有海内外名校硕士和博士学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项目</w:t>
            </w:r>
          </w:p>
        </w:tc>
        <w:tc>
          <w:tcPr>
            <w:tcW w:type="dxa" w:w="442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运营主体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上海亘聪信息科技有限公司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母公司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上海安诺其集团股份有限公司（股票代码：300067，深交所创业板）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法定代表人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吴子彧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注册资本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1000万元人民币（实缴571.39万元）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成立日期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2019年8月30日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注册地址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上海市闵行区元江路525号5幢10层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联络方式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400-021-0001 / sales@ai-galaxy.com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官网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https://gpu.ai-galaxy.cn（智星云算力平台）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收购情况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2024年2月安诺其以不超过1亿元现金收购100%股权</w:t>
            </w:r>
          </w:p>
        </w:tc>
      </w:tr>
    </w:tbl>
    <w:p/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二、经营与财务状况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（一）营收与业绩承诺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上海亘聪2024年实现营业收入1.25亿元，净利润661万元，完成了原股东承诺的业绩目标（营收不低于7000万元、净利润不低于700万元）。原股东业绩承诺如下：2025年营收不低于1.2亿元、净利润不低于1000万元；2026年营收不低于1.8亿元、净利润不低于1300万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年度</w:t>
            </w:r>
          </w:p>
        </w:tc>
        <w:tc>
          <w:tcPr>
            <w:tcW w:type="dxa" w:w="221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营业收入（目标/实际）</w:t>
            </w:r>
          </w:p>
        </w:tc>
        <w:tc>
          <w:tcPr>
            <w:tcW w:type="dxa" w:w="221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净利润（目标/实际）</w:t>
            </w:r>
          </w:p>
        </w:tc>
        <w:tc>
          <w:tcPr>
            <w:tcW w:type="dxa" w:w="221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完成情况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2024年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7000万元 / 1.25亿元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700万元 / 661万元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已完成（营收超额、利润相差5.5%）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2025年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1.2亿元 / 待审计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1000万元 / 待审计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待年报确认</w:t>
            </w:r>
          </w:p>
        </w:tc>
      </w:tr>
      <w:tr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2026年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1.8亿元 / 待审计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1300万元 / 待审计</w:t>
            </w:r>
          </w:p>
        </w:tc>
        <w:tc>
          <w:tcPr>
            <w:tcW w:type="dxa" w:w="2211"/>
          </w:tcPr>
          <w:p>
            <w:r/>
            <w:r>
              <w:rPr>
                <w:rFonts w:ascii="仿宋" w:hAnsi="仿宋" w:eastAsia="仿宋"/>
                <w:sz w:val="24"/>
              </w:rPr>
              <w:t>待年报确认</w:t>
            </w:r>
          </w:p>
        </w:tc>
      </w:tr>
    </w:tbl>
    <w:p/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（二）融资与资本运作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2024年2月，安诺其集团以1亿元现金收购上海亘聪100%股权。2025年10月，亘聪科技与远东国际融资租赁有限公司开展8800万元融资租赁业务。2026年3月，与邦银金融租赁股份有限公司签署融资租赁合同，以售后回租方式融资2911.89万元，期限三年，由母公司安诺其集团提供连带责任保证担保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（三）用户规模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截至2026年初，智星云平台注册用户数超过16万，其中包括10万高校用户和5000家企业认证用户。平台已服务近万家企业与高校客户，覆盖高等院校、科研机构、互联网、金融、政府及企业等多类型客户。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三、产品与服务能力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（一）服务产品形态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提供四大产品形态：一是算力集群解决方案，基于算力、存储、网络和云组件的一体化交付方案；二是私有云产品，提供团队专属GPU算力调度系统，本地化部署；三是智算云产品，基于GPU云主机调度底座与财务审计合规体系；四是硬件产品，涵盖AI工作站、整机服务器、一体机、专业显卡，品牌为新诺力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（二）GPU型号与算力规格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智星云提供从H800、A800、A100（80G/40G）、V100（32G/16G）到RTX 5090（32G）、RTX 4090（24G）、RTX 4090Plus（48G）、RTX 3090、RTX 3080、A30、A40、A5000、A6000、RTX 2080 Ti、GTX 1080 Ti等全系列GPU云服务器租用服务。支持KVM虚拟机、Docker容器、裸金属、PVE虚拟机等多种技术方案，计费模式包括按需计费、包月/包年、混合计费等，低至0.75元/小时。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（三）主要应用场景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智星云的服务覆盖生成式AI（AIGC）、大语言模型训练与推理、高性能计算（HPC）、创意渲染、云游戏、数字人、高校科研、生物医药、智能制造、金融科技、自动驾驶等众多场景。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（四）旗下AIGC产品——意间AI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意间AI是国内最大的多模态AIGC社区之一，拥有1500万用户，百万月活，其中70%为女性用户，60%为18-25岁年轻用户。在抖音/快手平台上"意间AI"/"意间AI绘画"标签播放量超40亿。跨平台覆盖苹果App、安卓App、微信小程序、网页版，已累计生成8亿AI作品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四、技术架构与核心竞争力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（一）核心技术创新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分布式GPU算力管理平台，架构全部自主开发，拥有独有专利技术，核心代码安全可控。支持超1000台服务器调度，通过RDMA技术实现跨节点低延迟通信。二是GPU弹性调度算法，支持CPU/GPU/NPU等异构资源的灵活调度，资源利用率提升40%，训练等待时间缩短至行业平均水平的三分之一。三是国产GPU上云方案，支持天数智芯、华为昇腾、沐曦等国产GPU，异构同管，赋能信创。四是采用容器化部署方案，支持多容器共享GPU，小批量并发效率提升50%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（二）安全合规能力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平台达到国家等保三级标准，通过ISO 27001认证。采用SM4数据加密，本地化处理，满足金融、医疗行业合规要求。数据中心位于东部核心区域T3级别，自营自管，安全可控，资质齐全。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（三）算力基础设施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目前拥有自采加纳管算力超过500P，并持续增加。已在上海、北京、连云港、广州四大东部核心需求区域拥有T3数据中心。2025年，江苏连云港和上海青浦双智算中心相继建成。平台还规划未来扩建三大节点，形成东部一体化算力网络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五、组织架构与团队背景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层级</w:t>
            </w:r>
          </w:p>
        </w:tc>
        <w:tc>
          <w:tcPr>
            <w:tcW w:type="dxa" w:w="442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内容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母公司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上海安诺其集团股份有限公司（300067.SZ）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全资子公司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上海亘聪信息科技有限公司（智星云运营主体）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法定代表人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吴子彧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创始人/核心团队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来自英伟达、阿里云等企业，多人拥有海内外名校硕士和博士学位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连云港合作方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连云港市数字产业投资发展有限公司（悟空智算项目）</w:t>
            </w:r>
          </w:p>
        </w:tc>
      </w:tr>
      <w:tr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员工规模</w:t>
            </w:r>
          </w:p>
        </w:tc>
        <w:tc>
          <w:tcPr>
            <w:tcW w:type="dxa" w:w="4422"/>
          </w:tcPr>
          <w:p>
            <w:r/>
            <w:r>
              <w:rPr>
                <w:rFonts w:ascii="仿宋" w:hAnsi="仿宋" w:eastAsia="仿宋"/>
                <w:sz w:val="24"/>
              </w:rPr>
              <w:t>未公开披露</w:t>
            </w:r>
          </w:p>
        </w:tc>
      </w:tr>
    </w:tbl>
    <w:p/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安诺其集团成立于1999年，原主营业务为纺织染料与助剂，后通过收购上海亘聪进入AI算力领域。集团实际控制人为纪立军。2024年收购亘聪科技后，形成了"纺织染料+AI算力"双主业格局。公司总部位于上海，在浙江、江苏、山东等地设有生产基地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六、与主流云厂商的竞争定位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（一）与阿里云/腾讯云的差异化特征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与阿里云和腾讯云相比，智星云的核心竞争优势在于以下方面。一是高性价比，价格通常为大云厂商的30%至50%。二是开发者友好，内置200余个预训练模型及全生命周期工具链，加载速度提升15倍。三是国产GPU适配，支持华为昇腾、天数智芯、沐曦等多种国产GPU。四是弹性灵活，分钟级计费和弹性扩缩容。五是高校生态，服务200余所高校和科研机构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（二）第三方测评情况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据2026年3月第三方测评机构对国内主流GPU算力平台的全维度实测结果显示，智星云在性价比维度斩获满分25分，获评"行业性价比断层领先"。知名科技媒体实测认为，智星云在成本控制、易用性和国产化适配方面表现突出，尤其适合中小企业和科研机构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七、近期重要动态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（一）2026年重要事项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2026年3月与邦银金融租赁签署2911.89万元融资租赁合同，盘活存量资产。二是连云港悟空智算中心建成运营，由智星云与连云港市数字产业投资发展有限公司共同推进，旨在打造智算中心基地、人工智能标注基地以及新质生产力培育基地。三是上海青浦智算中心建成。四是平台完成算力跨区调度、异构融合、集群服务等关键技术升级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八、与青云科技的竞争与合作分析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智星云与青云科技虽然同属云计算与AI算力领域，但在市场定位、产品方向和客户群体上存在明显差异，互补大于竞争。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青云科技（KubeSphere企业版、AI智算平台）的核心优势在于企业级云原生底座和全栈私有化部署能力，客户以中大型政企和金融机构为主，强调信创适配和混合云管理。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智星云的核心优势在于GPU算力租赁的性价比和灵活性，客户以高校、初创企业和AI开发者为主，强调即开即用和低门槛。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双方在国产GPU适配（信创）、AI智算平台等方向存在合作潜力。具体而言，青云KubeSphere可作为智星云的企业级容器管理平台输出，而智星云的GPU算力资源可补充青云的算力池。双方联合可为半导体、生物医药等行业提供"云原生底座+弹性GPU算力"的一体化解决方案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九、信息来源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本报告信息来源于百度百科、安诺其集团2024年年度报告（巨潮资讯网）、云巴巴平台（yun88.com）、知乎专栏、第三方技术测评文章、智星云官方网站（ai-galaxy.cn）等公开渠道，数据截至2026年6月。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