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黑体" w:hAnsi="黑体" w:eastAsia="黑体"/>
          <w:b/>
          <w:sz w:val="44"/>
        </w:rPr>
        <w:t>智星云（AIGalaxy）详细情况分析报告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文档版本：V1.0    编制日期：2026年6月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一、公司基本概况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（AIGalaxy）是安诺其集团（股票代码：300067）全资子公司上海亘聪信息科技有限公司旗下的GPU算力服务平台。公司成立于2019年8月30日，总部位于上海市，注册资本1000万元人民币，实缴资本571.3928万元人民币，法定代表人为吴子彧。核心团队来自英伟达、阿里云等企业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安诺其集团于2024年2月以不超过1亿元现金收购上海亘聪100%股权，使其成为集团全资子公司。该收购旨在布局算力赛道，借助安诺其上市平台为智星云提供资本支撑。2024年，上海亘聪实现营业收入1.25亿元，净利润661万元，完成了业绩承诺目标。原股东进一步承诺：2025年营收不低于1.2亿元、净利润不低于1000万元；2026年营收不低于1.8亿元、净利润不低于1300万元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二、平台规模与用户基础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截至2026年初，智星云平台已有近万家企业与高校客户，注册用户数超过16万。用户结构呈现以下特点。</w:t>
      </w:r>
    </w:p>
    <w:p>
      <w:pPr>
        <w:spacing w:line="560" w:lineRule="exact" w:after="40"/>
        <w:ind w:firstLine="0"/>
      </w:pPr>
      <w:r>
        <w:rPr>
          <w:rFonts w:ascii="仿宋" w:hAnsi="仿宋" w:eastAsia="仿宋"/>
          <w:sz w:val="32"/>
        </w:rPr>
        <w:t xml:space="preserve">    一是用户分布。包括10万高校用户、5000家企业认证用户。</w:t>
      </w:r>
    </w:p>
    <w:p>
      <w:pPr>
        <w:spacing w:line="560" w:lineRule="exact" w:after="40"/>
        <w:ind w:firstLine="0"/>
      </w:pPr>
      <w:r>
        <w:rPr>
          <w:rFonts w:ascii="仿宋" w:hAnsi="仿宋" w:eastAsia="仿宋"/>
          <w:sz w:val="32"/>
        </w:rPr>
        <w:t xml:space="preserve">    二是应用场景。覆盖生成式AI、大语言模型训练与推理、高性能计算、创意渲染、云游戏、数字人、高校科研、生物医药、智能制造、金融科技等领域。</w:t>
      </w:r>
    </w:p>
    <w:p>
      <w:pPr>
        <w:spacing w:line="560" w:lineRule="exact" w:after="40"/>
        <w:ind w:firstLine="0"/>
      </w:pPr>
      <w:r>
        <w:rPr>
          <w:rFonts w:ascii="仿宋" w:hAnsi="仿宋" w:eastAsia="仿宋"/>
          <w:sz w:val="32"/>
        </w:rPr>
        <w:t xml:space="preserve">    三是服务客户类型。涵盖高等院校、科研机构、互联网企业、金融机构、政府及企事业单位等。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三、产品与服务能力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平台基于自主研发的分布式算力架构及GPU算力管理平台，提供以下产品形态。一是算力集群解决方案。基于算力、存储、网络和云组件的一体化交付方案。二是私有云产品。提供团队专属GPU算力调度系统，采用本地化部署。三是智算云产品。基于GPU云主机调度底座与财务审计合规体系，用于搭建智算云平台。四是硬件产品。涵盖AI工作站、整机服务器、一体机、专业显卡，硬件品牌为新诺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平台GPU型号覆盖情况如下。高端训练卡包括英伟达A100、A800、V100等。消费级GPU包括RTX 4090、RTX 5090等。此外，平台已开始支持国产GPU算力。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平台技术架构特点如下。采用容器化部署方案，支持CPU/GPU/NPU等异构资源调度。支持KVM虚拟机、Docker容器、裸金属、PVE虚拟机等多种技术方案。计费模式包括按需计费、包月/包年、混合计费等。安全合规方面，平台达到等保三级标准，通过ISO 27001认证。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四、算力基础设施建设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2025年，智星云平台的江苏连云港和上海青浦双智算中心相继建成，标志着平台在算力基础设施方面实现了跨越式发展。2025年，在平台成立五周年之际，完成了算力跨区调度、异构融合、集群服务等关键技术升级。2026年3月，公司与邦银金融租赁股份有限公司签署融资租赁合同，通过售后回租方式融资2911.89万元。2025年10月，与远东国际融资租赁有限公司开展8800万元的融资租赁业务。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在商业合作方面，2024年5月，上海亘聪与连云港市数字产业投资发展有限公司签署《智算产业全链条合作协议》，共同推进连云港悟空智算项目，该项目旨在打造智算中心基地、人工智能标注基地以及新质生产力培育基地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五、市场竞争定位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智星云在国内GPU算力租赁市场中定位为中高端服务商。2026年3月，第三方测评机构对国内主流GPU算力平台开展全维度实测，智星云在性价比维度斩获满分25分，获评"行业性价比断层领先"。在算力规模方面，智星云通过与连云港、青浦智算中心合作及融资租赁方式持续扩展算力池。安诺其集团通过上市平台为其提供资本支持，助力其在算力基础设施方面的持续投入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六、风险与注意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资本风险。智星云依赖融资租赁方式盘活资产扩大算力规模，如融资渠道收紧可能影响扩张节奏。二是市场竞争激烈。国内GPU算力租赁市场参与者众多，包括阿里云、华为云等头部云厂商以及AutoDL等垂直平台，价格竞争日趋激烈。三是业绩对赌压力。原股东承诺2025年净利润不低于1000万元、2026年净利润不低于1300万元，存在一定业绩压力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七、6000P算力在全国的体量分析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根据国家数据局最新数据，截至2026年3月底，全国智能算力总规模已达188万PFLOPS（FP16），八大国家枢纽节点占比超过80%。6000P（即6000PFLOPS）在全国算力版图中属于中等偏下规模。具体对比如下。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24"/>
              </w:rPr>
              <w:t>算力主体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24"/>
              </w:rPr>
              <w:t>算力规模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24"/>
              </w:rPr>
              <w:t>体量级别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全国智能算力总规模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188万P（1880000P）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国家级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内蒙古呼和浩特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4.4万P（44000P）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地市级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甘肃庆阳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5万P（50000P）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地市级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宁夏中卫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22.72万P（227200P）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地市级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利通电子（上市公司）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3.3万P（33000P）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企业级头部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6000P参考体量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0.6万P（6000P）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sz w:val="24"/>
              </w:rPr>
              <w:t>中型项目级</w:t>
            </w:r>
          </w:p>
        </w:tc>
      </w:tr>
    </w:tbl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从上表可以看出，6000P算力的体量相当于一个中型地市级智算中心的起步规模，或一家中型上市算力企业部署规模的一部分。如果作为智星云的算力扩充，可使其在算力租赁领域进入行业前列。同时，6000P占全国智能算力的比例约为0.32%，属于专项型算力集群的典型规模，适合支撑一个或多个大型AI大模型训练项目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32"/>
        </w:rPr>
        <w:t>八、2026世界人工智能大会（WAIC2026）信息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（一）大会基本信息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大会名称：世界人工智能大会暨人工智能全球治理高级别会议。大会时间：2026年7月17日至20日（共四天）。大会地点：中国上海，主会场设在上海世博中心，展览设在世博展览馆（上海市浦东新区国展路1099号）。大会主题：智能时代 同球共济。主办单位：由外交部、国家发展和改革委员会、工业和信息化部、教育部、科学技术部、国务院国资委、国家互联网信息办公室、中国科学院、中国科协和上海市人民政府共同主办。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（二）大会规模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本届WAIC展览面积首次跃升至7万平方米，四大展馆联动。预计吸引800余家中外领先企业汇聚上海。拟邀国际巨头包括AWS、Google、西门子、施耐德电气等。中国科技领军企业包括百度、阿里巴巴、腾讯、华为、蚂蚁集团等。AI创新先锋包括商汤科技、MiniMax、阶跃星辰、无问芯穹等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（三）核心板块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本次大会设置五大核心板块。一是会议论坛。汇聚全球顶尖科学家、企业家、政府官员，围绕AI前沿技术与治理议题展开对话。二是展览展示。四大展馆全景覆盖核心技术、行业应用、终端体验与全域生态。三是评奖赛事。SAIL奖（卓越人工智能引领者）等权威奖项评选。四应用体验。具身智能、AIGC应用等沉浸式AI生活场景体验。五创新孵化。连接初创企业与资本，推动AI产业生态繁荣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（四）四大展馆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核心技术馆。聚焦模型、语料、算力等核心突破，展示从算法创新到系统部署的全栈能力。二是行业应用馆。展示智能驾驶、智慧城市、金融科技、工业制造、医疗、教育等领域的AI实践成果。三是终端体验馆。集合具身智能、AIGC应用、智能体验、文娱互动等产品。四是全域链接馆。致力于连接初创企业与资本，匹配技术方案与应用场景。</w:t>
      </w:r>
    </w:p>
    <w:p>
      <w:pPr>
        <w:spacing w:before="120" w:after="60"/>
        <w:ind w:firstLine="0"/>
      </w:pPr>
      <w:r>
        <w:rPr>
          <w:rFonts w:ascii="楷体" w:hAnsi="楷体" w:eastAsia="楷体"/>
          <w:b/>
          <w:sz w:val="32"/>
        </w:rPr>
        <w:t>（五）本届趋势看点</w:t>
      </w:r>
    </w:p>
    <w:p>
      <w:pPr>
        <w:spacing w:line="560" w:lineRule="exact" w:after="40"/>
        <w:ind w:firstLine="640"/>
      </w:pPr>
      <w:r>
        <w:rPr>
          <w:rFonts w:ascii="仿宋" w:hAnsi="仿宋" w:eastAsia="仿宋"/>
          <w:sz w:val="32"/>
        </w:rPr>
        <w:t>一是Agent爆发。AI Agent（智能体）成为本届大会最热关键词，新型人机交互模式将集中展示。二是大模型与算力底座。大模型持续演化，算力底座作为"新基建"核心，将是各城市、企业展示的重点。三是具身智能。人形机器人、智能终端预计成为展会最受关注的品类。四是智能化与制造业深度融合。工业制造AI应用、智能仓储、化工安全等场景值得特别关注。五是青云参展可能性分析。青云科技作为云原生与AI算力服务商，建议关注青云是否参展及展位号，可重点获取在半导体、化工等垂直行业的AI解决方案信息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  <w:ind w:firstLine="640"/>
    </w:pPr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