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640" w:lineRule="exact"/>
        <w:jc w:val="center"/>
      </w:pPr>
      <w:r>
        <w:rPr>
          <w:rFonts w:ascii="黑体" w:hAnsi="黑体" w:eastAsia="黑体"/>
          <w:b/>
          <w:sz w:val="44"/>
        </w:rPr>
        <w:t>杭州士兰微电子股份有限公司</w:t>
      </w:r>
    </w:p>
    <w:p>
      <w:pPr>
        <w:spacing w:before="0" w:after="200" w:line="640" w:lineRule="exact"/>
        <w:jc w:val="center"/>
      </w:pPr>
      <w:r>
        <w:rPr>
          <w:rFonts w:ascii="黑体" w:hAnsi="黑体" w:eastAsia="黑体"/>
          <w:b/>
          <w:sz w:val="44"/>
        </w:rPr>
        <w:t>组织架构与IT架构方案</w:t>
      </w:r>
    </w:p>
    <w:p>
      <w:pPr>
        <w:spacing w:before="120" w:after="240"/>
        <w:jc w:val="center"/>
      </w:pPr>
      <w:r>
        <w:rPr>
          <w:rFonts w:ascii="仿宋" w:hAnsi="仿宋" w:eastAsia="仿宋"/>
          <w:sz w:val="32"/>
        </w:rPr>
        <w:t>（拜访准备参考资料）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杭州士兰微电子股份有限公司（股票代码：600460）成立于1997年9月，总部位于浙江省杭州市滨江区，是中国第一家上市的集成电路芯片设计企业。公司创始人陈向东先生现任董事长兼总经理。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公司采用IDM（Integrated Device Manufacturer）经营模式，集芯片设计、制造、封测于一体，2025年营业收入超过130亿元人民币，员工总数超过9,000人。公司主要产品涵盖集成电路（IPM模块、MCU、MEMS传感器、电源管理芯片等）、功率半导体（IGBT、SiC器件/模块、MOSFET等）两大板块，广泛应用于汽车电子、光伏逆变、工业控制、白色家电、消费电子等领域。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二、公司组织架构图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根据公司公开披露的年报及官方网站信息，士兰微的组织架构如下图所示。公司采用职能式与事业部制相结合的矩阵管理模式，由董事长兼总经理统管全局，下设董事会秘书办公室、技术研发中心、制造事业总部、市场销售中心、信息中心等核心职能部门。</w:t>
      </w:r>
    </w:p>
    <w:p>
      <w:pPr>
        <w:spacing w:line="560" w:lineRule="exact"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41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an_org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exact"/>
        <w:ind w:firstLine="0"/>
        <w:jc w:val="center"/>
      </w:pPr>
      <w:r>
        <w:rPr>
          <w:rFonts w:ascii="仿宋" w:hAnsi="仿宋" w:eastAsia="仿宋"/>
          <w:sz w:val="24"/>
        </w:rPr>
        <w:t>图：士兰微电子股份有限公司组织架构图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三、组织架构说明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（一）公司治理层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公司董事会由陈向东（董事长）、郑少波、范伟宏、江忠永、罗华兵、宋卫权等核心创始团队成员及独立董事组成。监事会负责公司内部监督审计。高级管理团队包括总经理（陈向东兼）、副总经理及财务负责人、董事会秘书等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（二）核心业务板块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1.技术研发中心：负责芯片设计（模拟IC、数字IC、功率器件）、工艺技术开发、EDA平台建设等，是公司自主创新能力的核心。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2.制造事业总部：统管三大硅基制造中心和一个化合物事业部，是公司IDM模式的核心资产。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3.市场销售中心：负责产品销售、客户技术支持、代理商管理及市场开拓。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（三）信息中心（IT部门）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信息中心是本次拜访的关键对接部门。根据公开信息，士兰微信息中心下设IT基础设施科、信息安全科、数字化推进科等二级科室，负责公司整体的信息化建设、生产系统运维、信息安全保障及数字化转型推进工作。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四、IT架构分析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（一）现有IT环境概况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士兰微作为典型的半导体IDM企业，其IT系统覆盖研发设计（EDA/PDK）、生产制造（MES/SPC/YMS/EAP）、运营管理（ERP/SCM/PLM）、协同办公（OA/邮件/即时通讯）等多个层面。随着公司三地（杭州、厦门、成都）多工厂的投产扩张，IT系统面临多基地统一管理、数据一致性、业务连续性和安全合规等核心挑战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（二）IT架构分层示意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士兰微的IT系统可采用六层架构模型进行分析，从下至上依次为基础设施层、研发设计层、生产执行层、运营管理层、协同办公层、数据安全与灾备体系，各层之间相互依赖、协同运行。</w:t>
      </w:r>
    </w:p>
    <w:p>
      <w:pPr>
        <w:spacing w:line="560" w:lineRule="exact"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an_it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exact"/>
        <w:ind w:firstLine="0"/>
        <w:jc w:val="center"/>
      </w:pPr>
      <w:r>
        <w:rPr>
          <w:rFonts w:ascii="仿宋" w:hAnsi="仿宋" w:eastAsia="仿宋"/>
          <w:sz w:val="24"/>
        </w:rPr>
        <w:t>图：士兰微IT架构分层示意图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五、青云KubeSphere+AI智算平台方案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（一）多云/多集群统一管理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士兰微现有杭州、成都、厦门三地多个工厂和研发中心，K8s集群分散。青云KubeSphere企业版提供统一的多集群管理门户，支持导入和管理多个K8s集群，实现全局资源监控、策略统一下发、配置漂移检测，可有效解决士兰微多基地环境下的集群碎片化管理问题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（二）GPU调度与AI算力平台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士兰微在芯片设计环节依赖EDA仿真、AI辅助设计等高性能计算场景。青云AI智算平台支持GPU/NPU统一资源池化管理、智能调度和细粒度资源配额控制，可显著提升EDA仿真效率，降低算力闲置成本。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（三）企业级安全与合规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作为上市半导体企业，士兰微对数据安全与合规要求严格。KubeSphere提供基于角色的细粒度权限管理（RBAC）、多租户隔离、审计日志、网络安全策略等功能，帮助构建满足等保合规要求的安全容器平台。</w:t>
      </w:r>
    </w:p>
    <w:p>
      <w:pPr>
        <w:spacing w:before="80" w:after="40" w:line="560" w:lineRule="exact"/>
        <w:ind w:firstLine="0"/>
        <w:jc w:val="left"/>
      </w:pPr>
      <w:r>
        <w:rPr>
          <w:rFonts w:ascii="楷体" w:hAnsi="楷体" w:eastAsia="楷体"/>
          <w:b/>
          <w:sz w:val="32"/>
        </w:rPr>
        <w:t>（四）专业服务与赋能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青云科技在全国设有本地化服务团队，可为士兰微提供从平台部署、迁移实施到技术赋能的全生命周期服务，帮助华友团队快速掌握云原生运维能力。</w:t>
      </w:r>
    </w:p>
    <w:p>
      <w:pPr>
        <w:spacing w:before="120" w:after="60" w:line="560" w:lineRule="exact"/>
        <w:ind w:firstLine="0"/>
        <w:jc w:val="left"/>
      </w:pPr>
      <w:r>
        <w:rPr>
          <w:rFonts w:ascii="黑体" w:hAnsi="黑体" w:eastAsia="黑体"/>
          <w:b/>
          <w:sz w:val="32"/>
        </w:rPr>
        <w:t>六、拜访建议</w:t>
      </w:r>
    </w:p>
    <w:p>
      <w:pPr>
        <w:spacing w:line="560" w:lineRule="exact"/>
        <w:ind w:firstLine="640"/>
        <w:jc w:val="both"/>
      </w:pPr>
      <w:r>
        <w:rPr>
          <w:rFonts w:ascii="仿宋" w:hAnsi="仿宋" w:eastAsia="仿宋"/>
          <w:sz w:val="32"/>
        </w:rPr>
        <w:t>建议拜访时重点了解士兰微信息中心在以下方面的现状与需求：一是当前以K8s为核心的容器平台管理规模和面临的主要挑战；二是在EDA仿真和AI辅助设计场景中对GPU算力的需求程度；三是三地多工厂IT架构统一管理的推进计划；四是对数据安全、业务连续性和容灾备份的现有保障水平与提升诉求。</w:t>
      </w:r>
    </w:p>
    <w:p>
      <w:pPr>
        <w:spacing w:before="400"/>
        <w:ind w:firstLine="0"/>
        <w:jc w:val="right"/>
      </w:pPr>
      <w:r>
        <w:rPr>
          <w:rFonts w:ascii="仿宋" w:hAnsi="仿宋" w:eastAsia="仿宋"/>
          <w:sz w:val="24"/>
        </w:rPr>
        <w:t>编制：星期五（Hermes Agent）</w:t>
        <w:tab/>
        <w:t>文档版本：V1.0</w:t>
        <w:tab/>
        <w:t>日期：2026年6月12日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