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800" w:lineRule="exact"/>
        <w:ind w:firstLine="0"/>
        <w:jc w:val="center"/>
      </w:pPr>
      <w:r>
        <w:rPr>
          <w:rFonts w:ascii="黑体" w:hAnsi="黑体" w:eastAsia="黑体"/>
          <w:b/>
          <w:sz w:val="44"/>
        </w:rPr>
        <w:t>科百特组织架构与IT架构方案</w:t>
      </w:r>
    </w:p>
    <w:p>
      <w:pPr>
        <w:spacing w:after="120"/>
        <w:ind w:firstLine="0"/>
        <w:jc w:val="center"/>
      </w:pPr>
      <w:r>
        <w:rPr>
          <w:rFonts w:ascii="仿宋" w:hAnsi="仿宋" w:eastAsia="仿宋"/>
          <w:sz w:val="32"/>
        </w:rPr>
        <w:t>——基于青云KubeSphere企业版及AI智算平台的IT架构规划</w:t>
      </w:r>
    </w:p>
    <w:p>
      <w:pPr>
        <w:spacing w:before="480"/>
        <w:ind w:firstLine="0"/>
        <w:jc w:val="right"/>
      </w:pPr>
      <w:r>
        <w:rPr>
          <w:rFonts w:ascii="仿宋" w:hAnsi="仿宋" w:eastAsia="仿宋"/>
          <w:sz w:val="24"/>
        </w:rPr>
        <w:t>文档版本：V1.0</w:t>
        <w:br/>
        <w:t>编制日期：2026年6月12日</w:t>
        <w:br/>
        <w:t>编制单位：青云科技销售部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杭州科百特过滤器材有限公司（Cobetter）成立于2003年，是一家全球领先的创新型过滤企业，专注于纳米级过滤分离膜的研发与制造。公司总部位于浙江省杭州市，创始人、董事长为张应民先生（毕业于浙江大学，现任杭州市人大代表）。公司采用技术驱动型发展模式，产品涵盖PES、PVDF、N66、PTFE等微孔膜及各种折叠膜滤芯、过滤器等，广泛应用于集成电路制造、生物制药、新能源等高新技术领域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截至2025年，科百特拥有员工约8100人，其中专业技术工程师超过3400人。2024年度集团营收超40亿元，2025年预计突破50亿元，持续保持25%以上的年增长率。公司拥有42个研究应用中心、11个以上膜技术平台，申请自主知识产权1000余项。2021年获评国家第六批"制造业单项冠军示范企业"，2024年与浙江工业大学合作的"新型膜法水处理关键技术及应用"荣获国家科技进步奖一等奖。2025年2月，创始人张应民在北京出席民营企业座谈会，充分体现了国家对科百特行业地位的认可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二、公司组织架构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科百特建立了以股东大会为最高权力机构、董事会为决策机构的规范治理结构。创始人张应民担任董事长，核心管理层下设研发中心、制造中心、市场销售中心、信息技术部、质量与可靠性部、财务及行政职能总部等核心部门。公司实行扁平化管理，强调技术创新和人才激励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64"/>
        <w:gridCol w:w="1264"/>
        <w:gridCol w:w="1264"/>
        <w:gridCol w:w="1264"/>
        <w:gridCol w:w="1264"/>
        <w:gridCol w:w="1264"/>
        <w:gridCol w:w="1264"/>
      </w:tblGrid>
      <w:tr>
        <w:tc>
          <w:tcPr>
            <w:tcW w:type="dxa" w:w="8221"/>
            <w:gridSpan w:val="7"/>
            <w:shd w:fill="1F4E7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股东大会</w:t>
            </w:r>
          </w:p>
        </w:tc>
      </w:tr>
      <w:tr>
        <w:tc>
          <w:tcPr>
            <w:tcW w:type="dxa" w:w="3402"/>
            <w:gridSpan w:val="3"/>
            <w:shd w:fill="1F4E7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董事会</w:t>
            </w:r>
          </w:p>
        </w:tc>
        <w:tc>
          <w:tcPr>
            <w:tcW w:type="dxa" w:w="2551"/>
            <w:gridSpan w:val="2"/>
            <w:shd w:fill="1F4E7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监事会</w:t>
            </w:r>
          </w:p>
        </w:tc>
        <w:tc>
          <w:tcPr>
            <w:tcW w:type="dxa" w:w="2268"/>
            <w:gridSpan w:val="2"/>
            <w:shd w:fill="1F4E7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8"/>
              </w:rPr>
              <w:t>战略与投资</w:t>
              <w:br/>
              <w:t>委员会</w:t>
            </w:r>
          </w:p>
        </w:tc>
      </w:tr>
      <w:tr>
        <w:tc>
          <w:tcPr>
            <w:tcW w:type="dxa" w:w="8221"/>
            <w:gridSpan w:val="7"/>
            <w:shd w:fill="4472C4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2"/>
              </w:rPr>
              <w:t>总经理（CEO）——张应民（创始人/董事长兼总经理）</w:t>
            </w:r>
          </w:p>
        </w:tc>
      </w:tr>
      <w:tr>
        <w:tc>
          <w:tcPr>
            <w:tcW w:type="dxa" w:w="1134"/>
            <w:shd w:fill="D6E4F0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研发副总裁</w:t>
              <w:br/>
              <w:t>（研发中心）</w:t>
            </w:r>
          </w:p>
        </w:tc>
        <w:tc>
          <w:tcPr>
            <w:tcW w:type="dxa" w:w="1134"/>
            <w:shd w:fill="D6E4F0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制造副总裁</w:t>
              <w:br/>
              <w:t>（制造中心）</w:t>
            </w:r>
          </w:p>
        </w:tc>
        <w:tc>
          <w:tcPr>
            <w:tcW w:type="dxa" w:w="1134"/>
            <w:shd w:fill="D6E4F0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营销副总裁</w:t>
              <w:br/>
              <w:t>（市场销售中心）</w:t>
            </w:r>
          </w:p>
        </w:tc>
        <w:tc>
          <w:tcPr>
            <w:tcW w:type="dxa" w:w="1417"/>
            <w:shd w:fill="D6E4F0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信息技术部</w:t>
              <w:br/>
              <w:t>（IT/CIO）</w:t>
              <w:br/>
              <w:t>（信息化与</w:t>
              <w:br/>
              <w:t>数字化转型）</w:t>
            </w:r>
          </w:p>
        </w:tc>
        <w:tc>
          <w:tcPr>
            <w:tcW w:type="dxa" w:w="1134"/>
            <w:shd w:fill="D6E4F0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质量总监</w:t>
              <w:br/>
              <w:t>（质量与</w:t>
              <w:br/>
              <w:t>可靠性部）</w:t>
            </w:r>
          </w:p>
        </w:tc>
        <w:tc>
          <w:tcPr>
            <w:tcW w:type="dxa" w:w="1134"/>
            <w:shd w:fill="D6E4F0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财务/行政</w:t>
              <w:br/>
              <w:t>（职能总部）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  <w:shd w:fill="E2EFDA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杭州基地</w:t>
              <w:br/>
              <w:t>滨江/萧山</w:t>
              <w:br/>
              <w:t>膜材料总部</w:t>
            </w:r>
          </w:p>
        </w:tc>
        <w:tc>
          <w:tcPr>
            <w:tcW w:type="dxa" w:w="1134"/>
            <w:shd w:fill="E2EFDA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成都基地</w:t>
              <w:br/>
              <w:t>成都科百特</w:t>
              <w:br/>
              <w:t>半导体</w:t>
            </w:r>
          </w:p>
        </w:tc>
        <w:tc>
          <w:tcPr>
            <w:tcW w:type="dxa" w:w="1134"/>
            <w:shd w:fill="E2EFDA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台湾基地</w:t>
              <w:br/>
              <w:t>新竹/彰化</w:t>
              <w:br/>
              <w:t>台湾科百特</w:t>
            </w:r>
          </w:p>
        </w:tc>
        <w:tc>
          <w:tcPr>
            <w:tcW w:type="dxa" w:w="1417"/>
            <w:shd w:fill="E2EFDA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日本子公司</w:t>
              <w:br/>
              <w:t>日本科百特</w:t>
            </w:r>
          </w:p>
        </w:tc>
        <w:tc>
          <w:tcPr>
            <w:tcW w:type="dxa" w:w="1134"/>
            <w:shd w:fill="E2EFDA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韩国子公司</w:t>
              <w:br/>
              <w:t>韩国科百特</w:t>
            </w:r>
          </w:p>
        </w:tc>
        <w:tc>
          <w:tcPr>
            <w:tcW w:type="dxa" w:w="1134"/>
            <w:shd w:fill="E2EFDA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美国/欧洲</w:t>
              <w:br/>
              <w:t>子公司</w:t>
            </w:r>
          </w:p>
        </w:tc>
        <w:tc>
          <w:tcPr>
            <w:tcW w:type="dxa" w:w="1134"/>
          </w:tcPr>
          <w:p/>
        </w:tc>
      </w:tr>
    </w:tbl>
    <w:p>
      <w:pPr>
        <w:spacing w:before="80" w:after="240"/>
        <w:ind w:firstLine="0"/>
        <w:jc w:val="center"/>
      </w:pPr>
      <w:r>
        <w:rPr>
          <w:rFonts w:ascii="仿宋" w:hAnsi="仿宋" w:eastAsia="仿宋"/>
          <w:sz w:val="20"/>
        </w:rPr>
        <w:t>图一  科百特组织架构示意图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信息技术部（IT部门/CIO办公室）为公司数字化转型的核心推动部门。根据公司招聘信息及行业调研，信息技术部定位于首席信息官（CIO）层级，下设IT基础架构组、ERP/SAP系统运维、MES/CIM系统、容器云/DevOps平台、信息安全、AI应用开发等专业团队，负责公司全球IT基础设施、生产信息化系统及数据平台的建设与运营。科百特正处于从传统制造企业向数字化、智能化企业加速转型的关键阶段，信息技术部的战略地位日益凸显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科百特在全球设有10家子公司，业务覆盖132个国家。核心产业布局包括：杭州滨江（全球总部/销售行政中心）、杭州萧山河上镇（膜材料研发总部/生产基地）、成都（半导体过滤器材基地）、台湾新竹/彰化（台湾科百特）、日本、韩国、美国、欧洲等子公司。2023年，杭州市萧山区以科百特为核心规划了2.73平方公里的"膜材料小镇"产业集群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三、IT架构现状与规划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科百特作为全球领先的过滤技术创新企业，已建设了覆盖研发、制造、供应链、销售等环节的信息化体系。随着公司规模的快速扩张（近三年营收年均增长48%、员工从1000余人增长至8100人），现有IT架构面临以下核心挑战。一是多基地、全球化部署带来的IT治理复杂性。杭州总部、成都基地、台湾工厂及海外子公司之间IT系统相对独立，缺乏统一的容器云管理平台。二是MES、CIM等生产执行系统的高可用需求日益迫切。过滤膜生产对洁净度、良率要求极高，需要可靠的自动化运维与监控告警能力。三是AI与研发分析算力需求增长。科百特拥有超3400名工程师和42个研发中心，AI辅助研发、大数据分析对GPU算力有刚性需求。四是信创国产化与数据安全合规要求。作为国家重点制造企业，面临国产化适配和等保合规的双重压力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（一）IT架构分层规划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基于青云KubeSphere企业版（KSE 4.2）和青云AI智算平台，为科百特规划六层IT架构体系，以青云统一底座贯通各层级、赋能全业务。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11"/>
        <w:gridCol w:w="2211"/>
        <w:gridCol w:w="2211"/>
        <w:gridCol w:w="2211"/>
      </w:tblGrid>
      <w:tr>
        <w:tc>
          <w:tcPr>
            <w:tcW w:type="dxa" w:w="850"/>
            <w:shd w:fill="1F4E7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701"/>
            <w:shd w:fill="1F4E7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8"/>
              </w:rPr>
              <w:t>架构分层</w:t>
            </w:r>
          </w:p>
        </w:tc>
        <w:tc>
          <w:tcPr>
            <w:tcW w:type="dxa" w:w="3402"/>
            <w:shd w:fill="1F4E7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8"/>
              </w:rPr>
              <w:t>核心内容</w:t>
            </w:r>
          </w:p>
        </w:tc>
        <w:tc>
          <w:tcPr>
            <w:tcW w:type="dxa" w:w="1701"/>
            <w:shd w:fill="1F4E7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850"/>
            <w:shd w:fill="FCE4EC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22"/>
              </w:rPr>
              <w:t>六</w:t>
            </w:r>
          </w:p>
        </w:tc>
        <w:tc>
          <w:tcPr>
            <w:tcW w:type="dxa" w:w="1701"/>
            <w:shd w:fill="FCE4EC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16"/>
              </w:rPr>
              <w:t>数据安全与合规层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数据分级分类｜访问控制与审计IAM/SSO｜网络安全防护WAF/防火墙/IPS｜数据备份与容灾｜等保合规审计</w:t>
            </w:r>
          </w:p>
        </w:tc>
        <w:tc>
          <w:tcPr>
            <w:tcW w:type="dxa" w:w="1701"/>
            <w:shd w:fill="FCE4EC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color w:val="4472C4"/>
                <w:sz w:val="16"/>
              </w:rPr>
              <w:t>安全为先</w:t>
            </w:r>
          </w:p>
        </w:tc>
      </w:tr>
      <w:tr>
        <w:tc>
          <w:tcPr>
            <w:tcW w:type="dxa" w:w="850"/>
            <w:shd w:fill="E8F5E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22"/>
              </w:rPr>
              <w:t>五</w:t>
            </w:r>
          </w:p>
        </w:tc>
        <w:tc>
          <w:tcPr>
            <w:tcW w:type="dxa" w:w="1701"/>
            <w:shd w:fill="E8F5E9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16"/>
              </w:rPr>
              <w:t>协同办公与门户层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OA审批流程｜企业信息门户｜邮件与即时通讯｜视频会议系统｜HR行政管理</w:t>
            </w:r>
          </w:p>
        </w:tc>
        <w:tc>
          <w:tcPr>
            <w:tcW w:type="dxa" w:w="1701"/>
            <w:shd w:fill="E8F5E9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color w:val="4472C4"/>
                <w:sz w:val="16"/>
              </w:rPr>
              <w:t>效率提升</w:t>
            </w:r>
          </w:p>
        </w:tc>
      </w:tr>
      <w:tr>
        <w:tc>
          <w:tcPr>
            <w:tcW w:type="dxa" w:w="850"/>
            <w:shd w:fill="FFF3E0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22"/>
              </w:rPr>
              <w:t>四</w:t>
            </w:r>
          </w:p>
        </w:tc>
        <w:tc>
          <w:tcPr>
            <w:tcW w:type="dxa" w:w="1701"/>
            <w:shd w:fill="FFF3E0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16"/>
              </w:rPr>
              <w:t>业务运营与管理层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ERP（财务/供应链/采购）｜CRM客户关系管理｜PLM产品全生命周期｜SCM供应商管理｜BI经营数据分析</w:t>
            </w:r>
          </w:p>
        </w:tc>
        <w:tc>
          <w:tcPr>
            <w:tcW w:type="dxa" w:w="1701"/>
            <w:shd w:fill="FFF3E0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color w:val="4472C4"/>
                <w:sz w:val="16"/>
              </w:rPr>
              <w:t>数据驱动</w:t>
            </w:r>
          </w:p>
        </w:tc>
      </w:tr>
      <w:tr>
        <w:tc>
          <w:tcPr>
            <w:tcW w:type="dxa" w:w="850"/>
            <w:shd w:fill="E3F2FD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22"/>
              </w:rPr>
              <w:t>三</w:t>
            </w:r>
          </w:p>
        </w:tc>
        <w:tc>
          <w:tcPr>
            <w:tcW w:type="dxa" w:w="1701"/>
            <w:shd w:fill="E3F2FD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16"/>
              </w:rPr>
              <w:t>生产执行与研发设计层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MES制造执行系统（工单/追溯/SPC）｜CIM设备自动化系统｜YMS良率管理分析｜LIMS实验室管理｜AI辅助研发设计</w:t>
            </w:r>
          </w:p>
        </w:tc>
        <w:tc>
          <w:tcPr>
            <w:tcW w:type="dxa" w:w="1701"/>
            <w:shd w:fill="E3F2FD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color w:val="4472C4"/>
                <w:sz w:val="16"/>
              </w:rPr>
              <w:t>核心生产</w:t>
            </w:r>
          </w:p>
        </w:tc>
      </w:tr>
      <w:tr>
        <w:tc>
          <w:tcPr>
            <w:tcW w:type="dxa" w:w="850"/>
            <w:shd w:fill="F3E5F5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22"/>
              </w:rPr>
              <w:t>二</w:t>
            </w:r>
          </w:p>
        </w:tc>
        <w:tc>
          <w:tcPr>
            <w:tcW w:type="dxa" w:w="1701"/>
            <w:shd w:fill="F3E5F5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16"/>
              </w:rPr>
              <w:t>基础设施与云平台层</w:t>
              <w:br/>
              <w:t>（青云KubeSphere+AI智算平台）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多集群统一管理（杭州/成都/台湾/海外）｜全栈可观测性与智能运维｜GPU/NPU调度与AI训练推理｜DevOps自动化流水线｜信创国产化适配</w:t>
            </w:r>
          </w:p>
        </w:tc>
        <w:tc>
          <w:tcPr>
            <w:tcW w:type="dxa" w:w="1701"/>
            <w:shd w:fill="F3E5F5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color w:val="4472C4"/>
                <w:sz w:val="16"/>
              </w:rPr>
              <w:t>统一底座</w:t>
            </w:r>
          </w:p>
        </w:tc>
      </w:tr>
      <w:tr>
        <w:tc>
          <w:tcPr>
            <w:tcW w:type="dxa" w:w="850"/>
            <w:shd w:fill="E0E0E0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22"/>
              </w:rPr>
              <w:t>一</w:t>
            </w:r>
          </w:p>
        </w:tc>
        <w:tc>
          <w:tcPr>
            <w:tcW w:type="dxa" w:w="1701"/>
            <w:shd w:fill="E0E0E0"/>
          </w:tcPr>
          <w:p>
            <w:pPr>
              <w:ind w:firstLine="0"/>
              <w:jc w:val="center"/>
            </w:pPr>
            <w:r/>
            <w:r>
              <w:rPr>
                <w:rFonts w:ascii="黑体" w:hAnsi="黑体" w:eastAsia="黑体"/>
                <w:b/>
                <w:color w:val="000000"/>
                <w:sz w:val="16"/>
              </w:rPr>
              <w:t>硬件与网络层</w:t>
            </w:r>
          </w:p>
        </w:tc>
        <w:tc>
          <w:tcPr>
            <w:tcW w:type="dxa" w:w="3402"/>
          </w:tcPr>
          <w:p>
            <w:pPr>
              <w:ind w:firstLine="0"/>
              <w:jc w:val="left"/>
            </w:pPr>
            <w:r/>
            <w:r>
              <w:rPr>
                <w:rFonts w:ascii="仿宋" w:hAnsi="仿宋" w:eastAsia="仿宋"/>
                <w:b w:val="0"/>
                <w:color w:val="000000"/>
                <w:sz w:val="16"/>
              </w:rPr>
              <w:t>x86/ARM/信创计算服务器｜GPU算力集群（训练/推理）｜分布式存储（全闪/混闪/对象）｜万兆/IB高速网络｜三地数据中心</w:t>
            </w:r>
          </w:p>
        </w:tc>
        <w:tc>
          <w:tcPr>
            <w:tcW w:type="dxa" w:w="1701"/>
            <w:shd w:fill="E0E0E0"/>
          </w:tcPr>
          <w:p>
            <w:pPr>
              <w:ind w:firstLine="0"/>
              <w:jc w:val="center"/>
            </w:pPr>
            <w:r/>
            <w:r>
              <w:rPr>
                <w:rFonts w:ascii="仿宋" w:hAnsi="仿宋" w:eastAsia="仿宋"/>
                <w:b/>
                <w:color w:val="4472C4"/>
                <w:sz w:val="16"/>
              </w:rPr>
              <w:t>基础设施</w:t>
            </w:r>
          </w:p>
        </w:tc>
      </w:tr>
    </w:tbl>
    <w:p>
      <w:pPr>
        <w:spacing w:before="80" w:after="240"/>
        <w:ind w:firstLine="0"/>
        <w:jc w:val="center"/>
      </w:pPr>
      <w:r>
        <w:rPr>
          <w:rFonts w:ascii="仿宋" w:hAnsi="仿宋" w:eastAsia="仿宋"/>
          <w:sz w:val="20"/>
        </w:rPr>
        <w:t>图二  科百特IT架构分层示意图（青云KubeSphere+AI智算平台统一底座）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第一层：硬件与网络层。包括x86/ARM/信创计算服务器、GPU算力集群（训练卡/推理卡）、分布式存储设备（全闪/混闪/对象存储）、万兆/IB高速网络、全球多数据中心（杭州、成都、台湾、海外）。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二层：基础设施与云平台层。以青云KubeSphere企业版为容器云底座，提供多集群统一管理（全球化多站点纳管）、全栈可观测性（监控告警/日志审计/链路追踪）、DevOps自动化流水线；以青云AI智算平台提供GPU调度、AI训练推理、模型全生命周期管理；以青云软件定义存储提供分布式存储与备份容灾能力；全面支持信创国产化适配（鲲鹏/飞腾/海光、麒麟/统信操作系统）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三层：生产执行与研发设计层。包括MES制造执行系统（工单管理、追溯、SPC统计过程控制）、CIM设备自动化系统、YMS良率管理分析、LIMS实验室信息管理系统、AI辅助研发设计等，是科百特作为制造型企业的核心生产力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第四层：业务运营与管理层。包括ERP（财务/供应链/采购）、CRM客户关系管理、PLM产品全生命周期管理、SCM供应商管理、BI经营数据分析等，实现业务端到端数字化管理。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第五层：协同办公与门户层。涵盖OA审批流程、企业信息门户、邮件与即时通讯、视频会议系统、HR行政系统等，支撑全球多时区、多语言办公协作需求。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第六层：数据安全与合规层。覆盖数据分级分类、访问控制与审计（IAM/SSO）、网络安全防护（WAF/防火墙/IPS）、数据备份与容灾、等保合规审计、全球数据隐私合规（GDPR等）等。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四、青云KubeSphere+AI智算平台方案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（一）KubeSphere企业版核心能力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KubeSphere企业版（KSE 4.2）是青云科技打造的新一代云原生操作系统，基于KubeSphere LuBan可扩展开放架构，在Kubernetes之上深度融合多云管理、微服务治理、应用可观测等核心能力。针对科百特的实际需求，核心匹配能力如下。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一是多集群统一管理。实现杭州、成都、台湾、海外等多地集群的统一纳管与策略统一下发，消除信息孤岛，实现集团级资源管控。二是全栈可观测性。提供多维度监控告警、日志审计、链路追踪，保障生产系统SLA，支撑运维团队快速定位问题。三是GPU调度管理。支持GPU/NPU资源的细粒度调度与监控，满足AI辅助研发与大数据分析算力需求。四是DevOps自动化。内置CI/CD流水线，加速研发迭代与交付效率。五是多租户与权限管理。按业务线（研发/制造/运营）和区域进行资源隔离与配额管理，满足多部门共享平台需求。六是应用商店。提供Helm应用一键部署，加速中间件（Redis、RocketMQ、MySQL等）的交付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（二）青云AI智算平台能力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AI智算平台基于统一全栈架构打造AI算力底座，具备异构算力调度能力，可有效支撑科百特在AI辅助膜材料研发、生产过程大数据分析、质量预测、供应链优化等场景的AI算力需求。平台支持GPU、NPU、CPU混合调度，提供训练任务管理与资源配额管控，内置算法开发环境与模型管理，并与KubeSphere容器平台深度集成，实现算力资源的统一运营与调度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（三）信创国产化支持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KubeSphere企业版全面支持信创国产化，已完成与鲲鹏、飞腾、海光等国产CPU及麒麟、统信等国产操作系统的适配认证，满足科百特作为国家重点制造企业的信创改造需求。青云科技已连续多年入选十大信创云品牌，在国家电网、金融、制造等行业积累了丰富的信创落地经验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五、方案价值总结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通过部署青云KubeSphere企业版及AI智算平台，可为科百特带来以下核心价值。一是实现全球多站点IT基础设施统一管理，降低运维复杂度与人力成本。二是构建企业级AI算力底座，加速膜材料研发与工艺优化进程。三是提升生产系统可用性与可观测性，保障制造业务连续性。四是满足信创国产化合规要求，平滑推进自主可控进程。五是降低整体IT建设成本，实现从资源消耗型向平台运营型转变。六是支撑企业全球化业务扩张，为未来营收百亿目标提供可靠的IT基础设施保障。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