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黑体" w:hAnsi="黑体" w:eastAsia="黑体"/>
          <w:b w:val="0"/>
          <w:sz w:val="32"/>
        </w:rPr>
        <w:t>━━━━━━━━━━━━━━━━━━━━━━━━━━━━━━</w:t>
      </w:r>
    </w:p>
    <w:p>
      <w:pPr>
        <w:spacing w:before="0" w:after="120" w:line="560" w:lineRule="exact"/>
        <w:jc w:val="center"/>
      </w:pPr>
      <w:r>
        <w:rPr>
          <w:rFonts w:ascii="黑体" w:hAnsi="黑体" w:eastAsia="黑体"/>
          <w:b/>
          <w:sz w:val="32"/>
        </w:rPr>
        <w:t>青云科技集团文件</w:t>
      </w:r>
    </w:p>
    <w:p>
      <w:pPr>
        <w:spacing w:before="0" w:after="240" w:line="560" w:lineRule="exact"/>
        <w:jc w:val="center"/>
      </w:pPr>
      <w:r>
        <w:rPr>
          <w:rFonts w:ascii="仿宋" w:hAnsi="仿宋" w:eastAsia="仿宋"/>
          <w:b w:val="0"/>
          <w:sz w:val="32"/>
        </w:rPr>
        <w:t>青云发〔2026〕88号</w:t>
      </w:r>
    </w:p>
    <w:p>
      <w:pPr>
        <w:spacing w:before="0" w:after="0" w:line="560" w:lineRule="exact"/>
        <w:jc w:val="center"/>
      </w:pPr>
      <w:r>
        <w:rPr>
          <w:rFonts w:ascii="黑体" w:hAnsi="黑体" w:eastAsia="黑体"/>
          <w:b w:val="0"/>
          <w:sz w:val="32"/>
        </w:rPr>
        <w:t>━━━━━━━━━━━━━━━━━━━━━━━━━━━━━━</w:t>
      </w:r>
    </w:p>
    <w:p>
      <w:pPr>
        <w:spacing w:before="240" w:after="240" w:line="560" w:lineRule="exact"/>
        <w:jc w:val="center"/>
      </w:pPr>
      <w:r>
        <w:rPr>
          <w:rFonts w:ascii="黑体" w:hAnsi="黑体" w:eastAsia="黑体"/>
          <w:b/>
          <w:sz w:val="44"/>
        </w:rPr>
        <w:t>关于进一步提升投标工作质量的整改方案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 w:val="0"/>
          <w:sz w:val="32"/>
        </w:rPr>
        <w:t>集团各部门、各区域分公司：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b w:val="0"/>
          <w:sz w:val="32"/>
        </w:rPr>
        <w:t>根据集团2026年度第3次经营分析会议精神，结合近期振石集团投标项目失标的深刻教训，为进一步规范投标工作流程，提升投标质量与中标率，现就有关工作提出以下整改要求：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b w:val="0"/>
          <w:sz w:val="32"/>
        </w:rPr>
        <w:t>一、严格落实标前评审制度。所有投标项目必须在投标截止日前至少15个工作日完成标前评审，评审内容包括技术方案可行性、商务报价合理性、交付能力匹配度及风险评估等。评审通过后方可投递标书。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b w:val="0"/>
          <w:sz w:val="32"/>
        </w:rPr>
        <w:t>二、加强演示环节全流程演练。技术演示是决定投标成败的关键环节，各区域分公司须在正式演示前进行不少于3次内部模拟演练，确保业务流程跑通、演示环境稳定、应答口径统一。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b w:val="0"/>
          <w:sz w:val="32"/>
        </w:rPr>
        <w:t>三、建立投标复盘机制。凡未中标的投标项目，须在收到结果通知后7个工作日内完成复盘分析，形成书面复盘报告，报集团投标管理委员会备案。复盘结果纳入部门绩效考核。</w:t>
      </w:r>
    </w:p>
    <w:p>
      <w:pPr>
        <w:spacing w:before="480" w:after="0" w:line="560" w:lineRule="exact"/>
        <w:jc w:val="center"/>
      </w:pPr>
      <w:r>
        <w:rPr>
          <w:rFonts w:ascii="仿宋" w:hAnsi="仿宋" w:eastAsia="仿宋"/>
          <w:b w:val="0"/>
          <w:sz w:val="32"/>
        </w:rPr>
      </w:r>
    </w:p>
    <w:p>
      <w:pPr>
        <w:spacing w:before="0" w:after="0" w:line="560" w:lineRule="exact"/>
        <w:jc w:val="right"/>
      </w:pPr>
      <w:r>
        <w:rPr>
          <w:rFonts w:ascii="仿宋" w:hAnsi="仿宋" w:eastAsia="仿宋"/>
          <w:b w:val="0"/>
          <w:sz w:val="32"/>
        </w:rPr>
        <w:t>青云科技集团投标管理委员会</w:t>
      </w:r>
    </w:p>
    <w:p>
      <w:pPr>
        <w:spacing w:before="0" w:after="0" w:line="560" w:lineRule="exact"/>
        <w:jc w:val="right"/>
      </w:pPr>
      <w:r>
        <w:rPr>
          <w:rFonts w:ascii="仿宋" w:hAnsi="仿宋" w:eastAsia="仿宋"/>
          <w:b w:val="0"/>
          <w:sz w:val="32"/>
        </w:rPr>
        <w:t>2026年6月12日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