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640" w:lineRule="exact"/>
      </w:pPr>
      <w:r>
        <w:rPr>
          <w:b/>
          <w:sz w:val="44"/>
          <w:rFonts w:eastAsia="黑体" w:ascii="黑体" w:hAnsi="黑体"/>
        </w:rPr>
        <w:t>士兰微电子客户拜访材料</w:t>
      </w:r>
    </w:p>
    <w:p>
      <w:pPr>
        <w:spacing w:line="560" w:lineRule="exact" w:before="0" w:after="0"/>
      </w:pPr>
      <w:r>
        <w:rPr>
          <w:b w:val="0"/>
          <w:sz w:val="32"/>
          <w:rFonts w:eastAsia="仿宋" w:ascii="仿宋" w:hAnsi="仿宋"/>
        </w:rPr>
      </w:r>
    </w:p>
    <w:p>
      <w:pPr>
        <w:jc w:val="center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 xml:space="preserve">青云科技〔2026〕第012号   </w:t>
      </w:r>
    </w:p>
    <w:p>
      <w:pPr>
        <w:spacing w:line="560" w:lineRule="exact" w:before="0" w:after="0"/>
      </w:pPr>
      <w:r>
        <w:rPr>
          <w:b w:val="0"/>
          <w:sz w:val="32"/>
          <w:rFonts w:eastAsia="仿宋" w:ascii="仿宋" w:hAnsi="仿宋"/>
        </w:rPr>
      </w:r>
    </w:p>
    <w:p>
      <w:pPr>
        <w:jc w:val="center"/>
        <w:spacing w:line="560" w:lineRule="exact" w:before="0" w:after="0"/>
      </w:pPr>
      <w:r>
        <w:rPr>
          <w:b/>
          <w:sz w:val="32"/>
          <w:rFonts w:eastAsia="黑体" w:ascii="黑体" w:hAnsi="黑体"/>
        </w:rPr>
        <w:t>一、士兰微客户基本情况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（一）公司概况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杭州士兰微电子股份有限公司（股票代码：600460.SH），总部位于浙江省杭州市西湖区。2025年实现营业收入130.52亿元，同比增长16.32%；净利润3.99亿元，同比增长81.27%。公司现有员工约10000人，采用IDM（设计+制造+封测一体化）经营模式，核心产品包括IPM智能功率模块、IGBT、SiC MOSFET、32位MCU、MEMS传感器等，主要市场覆盖白电、工业控制、新能源汽车、新能源（风光储充）及AI算力中心电源等领域。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（二）关键业务动向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产能扩张方面，2025年10月与厦门市政府签约投资200亿元建设12英寸高端模拟集成电路生产线。SiC量产加速方面，6英寸SiC线月产已达1万片，8英寸SiC线已于2025年第四季度通线，预计2026年下半年正式投产。车规级升级方面，已获IATF16949、ISO26262 ASILD、TISAX AL3认证，加速切入全球汽车供应链。在AI算力方面，通过台达、光宝间接配套英伟达800V HVDC电源平台，1200V高压SiC MOSFET已批量出货。IDM整合方面，已完成对成都士兰、士兰集昕等子公司少数股东权益回购，斥资超10亿元。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（三）生产基地布局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  <w:spacing w:line="440" w:lineRule="exact"/>
            </w:pPr>
            <w:r/>
            <w:r>
              <w:rPr>
                <w:b/>
                <w:sz w:val="28"/>
                <w:rFonts w:eastAsia="黑体" w:ascii="黑体" w:hAnsi="黑体"/>
              </w:rPr>
              <w:t>地点</w:t>
            </w:r>
          </w:p>
        </w:tc>
        <w:tc>
          <w:tcPr>
            <w:tcW w:type="dxa" w:w="2948"/>
          </w:tcPr>
          <w:p>
            <w:pPr>
              <w:jc w:val="center"/>
              <w:spacing w:line="440" w:lineRule="exact"/>
            </w:pPr>
            <w:r/>
            <w:r>
              <w:rPr>
                <w:b/>
                <w:sz w:val="28"/>
                <w:rFonts w:eastAsia="黑体" w:ascii="黑体" w:hAnsi="黑体"/>
              </w:rPr>
              <w:t>产线类型</w:t>
            </w:r>
          </w:p>
        </w:tc>
        <w:tc>
          <w:tcPr>
            <w:tcW w:type="dxa" w:w="2948"/>
          </w:tcPr>
          <w:p>
            <w:pPr>
              <w:jc w:val="center"/>
              <w:spacing w:line="440" w:lineRule="exact"/>
            </w:pPr>
            <w:r/>
            <w:r>
              <w:rPr>
                <w:b/>
                <w:sz w:val="28"/>
                <w:rFonts w:eastAsia="黑体" w:ascii="黑体" w:hAnsi="黑体"/>
              </w:rPr>
              <w:t>规模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杭州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5/6英寸、8英寸线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总部+研发中心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成都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汽车封装（二期建设中）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IPM年产能4.8亿颗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厦门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12英寸高端模拟线（新建）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年产54万片规划</w:t>
            </w:r>
          </w:p>
        </w:tc>
      </w:tr>
    </w:tbl>
    <w:p>
      <w:pPr>
        <w:spacing w:before="0" w:after="0"/>
      </w:pP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（四）IT需求与痛点分析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  <w:spacing w:line="440" w:lineRule="exact"/>
            </w:pPr>
            <w:r/>
            <w:r>
              <w:rPr>
                <w:b/>
                <w:sz w:val="28"/>
                <w:rFonts w:eastAsia="黑体" w:ascii="黑体" w:hAnsi="黑体"/>
              </w:rPr>
              <w:t>需求维度</w:t>
            </w:r>
          </w:p>
        </w:tc>
        <w:tc>
          <w:tcPr>
            <w:tcW w:type="dxa" w:w="2948"/>
          </w:tcPr>
          <w:p>
            <w:pPr>
              <w:jc w:val="center"/>
              <w:spacing w:line="440" w:lineRule="exact"/>
            </w:pPr>
            <w:r/>
            <w:r>
              <w:rPr>
                <w:b/>
                <w:sz w:val="28"/>
                <w:rFonts w:eastAsia="黑体" w:ascii="黑体" w:hAnsi="黑体"/>
              </w:rPr>
              <w:t>具体痛点</w:t>
            </w:r>
          </w:p>
        </w:tc>
        <w:tc>
          <w:tcPr>
            <w:tcW w:type="dxa" w:w="2948"/>
          </w:tcPr>
          <w:p>
            <w:pPr>
              <w:jc w:val="center"/>
              <w:spacing w:line="440" w:lineRule="exact"/>
            </w:pPr>
            <w:r/>
            <w:r>
              <w:rPr>
                <w:b/>
                <w:sz w:val="28"/>
                <w:rFonts w:eastAsia="黑体" w:ascii="黑体" w:hAnsi="黑体"/>
              </w:rPr>
              <w:t>青云切入点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多基地IT统一管理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杭州/成都/厦门三地工厂，IT资源分散管理，运维效率低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KubeSphere多集群统一纳管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CIM/MES云原生化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半导体制造CIM系统逐步容器化，需高可靠容器平台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KubeSphere企业版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EDA/HPC算力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芯片设计需大量仿真计算，现有HPC资源管理粗放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AI智算平台（算力调度）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AI辅助芯片设计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AI for EDA、良率预测等场景正在兴起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AI智算平台（GPU调度）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国产化替代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信创要求下寻求国产K8s平台替代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KubeSphere信创适配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数据安全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半导体设计数据高度敏感，需严格权限管控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多租户隔离+审计</w:t>
            </w:r>
          </w:p>
        </w:tc>
      </w:tr>
      <w:tr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边缘与IoT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Fab厂设备数据采集与边缘计算</w:t>
            </w:r>
          </w:p>
        </w:tc>
        <w:tc>
          <w:tcPr>
            <w:tcW w:type="dxa" w:w="2948"/>
          </w:tcPr>
          <w:p>
            <w:pPr>
              <w:spacing w:line="440" w:lineRule="exact"/>
              <w:ind w:firstLine="0"/>
            </w:pPr>
            <w:r/>
            <w:r>
              <w:rPr>
                <w:b w:val="0"/>
                <w:sz w:val="28"/>
                <w:rFonts w:eastAsia="仿宋" w:ascii="仿宋" w:hAnsi="仿宋"/>
              </w:rPr>
              <w:t>KubeSphere边缘节点</w:t>
            </w:r>
          </w:p>
        </w:tc>
      </w:tr>
    </w:tbl>
    <w:p>
      <w:pPr>
        <w:spacing w:before="0" w:after="0"/>
      </w:pPr>
    </w:p>
    <w:p>
      <w:pPr>
        <w:jc w:val="center"/>
        <w:spacing w:line="560" w:lineRule="exact" w:before="0" w:after="0"/>
      </w:pPr>
      <w:r>
        <w:rPr>
          <w:b/>
          <w:sz w:val="32"/>
          <w:rFonts w:eastAsia="黑体" w:ascii="黑体" w:hAnsi="黑体"/>
        </w:rPr>
        <w:t>二、青云产品方案介绍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（一）KubeSphere企业版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KubeSphere企业版（KSE 4.2）是以Kubernetes为核心的云原生分布式操作系统，具备以下核心能力：一是多集群统一管理，支持从统一管理面纳管多套K8s集群，实现全局资源监控与策略统一下发；二是多租户隔离，提供精细化的资源配额与权限管控，满足半导体行业数据安全要求；三是GPU调度与管理，支持vGPU虚拟化和细粒度GPU资源分配，适用于AI训练与推理场景；四是企业级运维，包括集群巡检、故障自愈、监控告警、日志审计等全套运维能力，可满足半导体制造系统高可用需求。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（二）青云AI智算平台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青云AI智算平台是为AI与HPC场景设计的算力管理平台，可有效支撑士兰微在芯片设计仿真、AI辅助设计、智能排产等方面的算力需求。平台核心功能包括：算力资源统一调度，支持CPU/GPU/NPU多种算力资源的统一纳管与智能调度；AI开发全流程支撑，提供从数据准备、模型训练到推理部署的一站式平台；支持混合云架构，可与私有化部署的EDA/HPC集群无缝对接。</w:t>
      </w:r>
    </w:p>
    <w:p>
      <w:pPr>
        <w:jc w:val="center"/>
        <w:spacing w:line="560" w:lineRule="exact" w:before="0" w:after="0"/>
      </w:pPr>
      <w:r>
        <w:rPr>
          <w:b/>
          <w:sz w:val="32"/>
          <w:rFonts w:eastAsia="黑体" w:ascii="黑体" w:hAnsi="黑体"/>
        </w:rPr>
        <w:t>三、拜访策略与切入角度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（一）核心论点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核心论点：士兰微正在从功率器件IDM向高端平台型IDM升级，IT基础设施需要匹配业务增长的云原生底座。一句话定位：国产IDM的云原生升级正当时，青云科技可提供"容器+AI算力"的组合方案。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（二）角度一：多基地统一管理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杭州总部、成都封测基地、厦门新厂三大基地的IT资源分散管理，运维效率低。KubeSphere可统一纳管多集群，实现全局资源监控与配置统一下发。建议以上海为服务支撑中心，就近覆盖浙江区域，体现青云本地化服务能力。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（三）角度二：AI for半导体制造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士兰微通过英伟达供应链间接进入AI算力生态，而青云AI智算平台可支撑芯片设计仿真、良率分析、智能排产等场景。区别于纯容器方案，青云提供"容器+AI算力"的组合方案，形成差异化竞争优势。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楷体" w:ascii="楷体" w:hAnsi="楷体"/>
        </w:rPr>
        <w:t>（四）角度三：信创与国产化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青云科技是国产上市公司（股票代码：688316），符合信创要求。KubeSphere全面支持ARM架构、国产CPU（鲲鹏、飞腾）和国产操作系统（麒麟、统信）。建议在拜访中突出青云"生根中国"的技术路线与国企客户的成功案例。</w:t>
      </w:r>
    </w:p>
    <w:p>
      <w:pPr>
        <w:jc w:val="center"/>
        <w:spacing w:line="560" w:lineRule="exact" w:before="0" w:after="0"/>
      </w:pPr>
      <w:r>
        <w:rPr>
          <w:b/>
          <w:sz w:val="32"/>
          <w:rFonts w:eastAsia="黑体" w:ascii="黑体" w:hAnsi="黑体"/>
        </w:rPr>
        <w:t>四、参考文档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华友容器云管理平台技术偏离响应表（青云科技）.docx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青云KubeSphere企业版产品介绍（V4.2版本）.pdf</w:t>
      </w:r>
    </w:p>
    <w:p>
      <w:pPr>
        <w:ind w:firstLine="640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青云AI智算平台解决方案概览.pdf</w:t>
      </w:r>
    </w:p>
    <w:p>
      <w:pPr>
        <w:spacing w:line="560" w:lineRule="exact" w:before="0" w:after="0"/>
      </w:pPr>
      <w:r>
        <w:rPr>
          <w:b w:val="0"/>
          <w:sz w:val="32"/>
          <w:rFonts w:eastAsia="仿宋" w:ascii="仿宋" w:hAnsi="仿宋"/>
        </w:rPr>
      </w:r>
    </w:p>
    <w:p>
      <w:pPr>
        <w:jc w:val="right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青云科技股份有限公司</w:t>
      </w:r>
    </w:p>
    <w:p>
      <w:pPr>
        <w:jc w:val="right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2026年6月12日</w:t>
      </w:r>
    </w:p>
    <w:p>
      <w:pPr>
        <w:jc w:val="right"/>
        <w:spacing w:line="560" w:lineRule="exact" w:before="0" w:after="0"/>
      </w:pPr>
      <w:r>
        <w:rPr>
          <w:b w:val="0"/>
          <w:sz w:val="32"/>
          <w:rFonts w:eastAsia="仿宋" w:ascii="仿宋" w:hAnsi="仿宋"/>
        </w:rPr>
        <w:t>（联系人：德总    联系电话：待补充）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