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ind w:firstLine="0"/>
        <w:jc w:val="center"/>
      </w:pPr>
      <w:r>
        <w:rPr>
          <w:rFonts w:ascii="黑体" w:hAnsi="黑体" w:eastAsia="黑体"/>
          <w:b/>
          <w:sz w:val="44"/>
        </w:rPr>
        <w:t>士兰微组织架构与IT架构方案</w:t>
      </w:r>
    </w:p>
    <w:p>
      <w:pPr>
        <w:spacing w:after="120"/>
        <w:ind w:firstLine="0"/>
        <w:jc w:val="center"/>
      </w:pPr>
      <w:r>
        <w:rPr>
          <w:rFonts w:ascii="仿宋" w:hAnsi="仿宋" w:eastAsia="仿宋"/>
          <w:sz w:val="32"/>
        </w:rPr>
        <w:t>——基于青云KubeSphere企业版及AI智算平台的IT架构规划</w:t>
      </w:r>
    </w:p>
    <w:p>
      <w:pPr>
        <w:spacing w:before="480"/>
        <w:ind w:firstLine="0"/>
        <w:jc w:val="right"/>
      </w:pPr>
      <w:r>
        <w:rPr>
          <w:rFonts w:ascii="仿宋" w:hAnsi="仿宋" w:eastAsia="仿宋"/>
          <w:sz w:val="24"/>
        </w:rPr>
        <w:t>文档版本：V1.0</w:t>
        <w:br/>
        <w:t>编制日期：2026年6月12日</w:t>
        <w:br/>
        <w:t>编制单位：青云科技销售部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一、公司概况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杭州士兰微电子股份有限公司（证券代码：600460）成立于1997年9月，总部位于杭州高新技术产业开发区，是国内第一家在中国境内上市的集成电路芯片设计企业。公司采用IDM（设计与制造一体化）运营模式，打通了"芯片设计—芯片制造—芯片封装"全产业链，芯片产线实现了从5吋到12吋的跨越，并从硅基产线拓展到化合物产线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2025年度，公司营业总收入为130.52亿元，同比增长16.32%，归属于母公司股东的净利润为3.99亿元，同比增长81.27%。公司产品和研发投入主要集中在功率半导体与化合物器件、功率驱动与控制系统、MEMS传感器、ASIC产品、光电产品五大领域。公司拥有超过800人的芯片设计研发团队和超过3600人的工艺、封装、测试技术研发队伍。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二、公司组织架构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公司形成了以股东大会为最高权力机构、董事会为决策机构、总经理为执行负责人的规范治理结构。核心管理层包括：董事长陈向东、副董事长范伟宏、副董事长兼总经理郑少波。下设研发中心、制造中心、市场销售中心、信息技术部、质量与可靠性部、职能总部等核心部门。</w:t>
      </w:r>
    </w:p>
    <w:p>
      <w:pPr>
        <w:spacing w:before="0" w:after="120"/>
        <w:ind w:firstLine="0"/>
      </w:pPr>
    </w:p>
    <w:p>
      <w:pPr>
        <w:spacing w:before="40" w:after="240"/>
        <w:ind w:firstLine="0"/>
        <w:jc w:val="center"/>
      </w:pPr>
      <w:r>
        <w:rPr>
          <w:rFonts w:ascii="仿宋" w:hAnsi="仿宋" w:eastAsia="仿宋"/>
          <w:sz w:val="20"/>
        </w:rPr>
        <w:t>图一  士兰微电子组织架构示意图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信息技术部为公司信息化与数字化转型的核心部门，下设IT基础架构组、ERP/SAP运维、MES/CIM系统、容器云/DevOps、信息安全、大数据/AI平台等专业团队，负责公司整体IT规划与建设。针对本次容器云平台建设项目，信息技术部为直接对接部门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控股子公司包括：杭州士兰集成电路有限公司（5吋/6吋线）、杭州士兰集昕微电子有限公司（8吋线）、成都士兰半导体制造有限公司（功率模块封装）、成都集佳科技有限公司、厦门士兰明镓化合物半导体有限公司（SiC功率器件、LED芯片）。参股公司包括：厦门士兰集科微电子有限公司（12吋线）、厦门士兰集宏半导体有限公司。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三、IT架构现状与规划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士兰微作为国内领先的IDM半导体企业，在信息化建设方面已构建了较为完善的IT体系，涵盖ERP、MES、CIM、EDA仿真等核心系统。然而，随着企业规模持续扩大和AI技术快速发展，现有IT架构面临以下挑战：一是多基地（杭州、成都、厦门）间IT系统独立部署，缺乏统一管控平台；二是现有K8s集群管理方式原始，缺少自动化运维能力；三是AI与EDA仿真算力需求快速增长，传统计算架构难以满足；四是信创国产化改造需求迫切。</w:t>
      </w:r>
    </w:p>
    <w:p>
      <w:pPr>
        <w:spacing w:before="120" w:after="60"/>
        <w:ind w:firstLine="0"/>
      </w:pPr>
      <w:r>
        <w:rPr>
          <w:rFonts w:ascii="楷体" w:hAnsi="楷体" w:eastAsia="楷体"/>
          <w:b/>
          <w:sz w:val="32"/>
        </w:rPr>
        <w:t>（一）IT架构分层规划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基于青云KubeSphere企业版（KSE 4.2）和青云AI智算平台，为士兰微规划六层IT架构体系，以青云统一底座贯通各层级、赋能全业务。</w:t>
      </w:r>
    </w:p>
    <w:p>
      <w:pPr>
        <w:spacing w:before="0" w:after="120"/>
        <w:ind w:firstLine="0"/>
      </w:pPr>
    </w:p>
    <w:p>
      <w:pPr>
        <w:spacing w:before="40" w:after="240"/>
        <w:ind w:firstLine="0"/>
        <w:jc w:val="center"/>
      </w:pPr>
      <w:r>
        <w:rPr>
          <w:rFonts w:ascii="仿宋" w:hAnsi="仿宋" w:eastAsia="仿宋"/>
          <w:sz w:val="20"/>
        </w:rPr>
        <w:t>图二  士兰微IT架构分层示意图（青云KubeSphere+AI智算平台统一底座）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第一层：硬件与网络层。包括x86/ARM/信创计算服务器、GPU算力集群（训练卡/推理卡）、全闪/混闪/对象存储设备、万兆/IB高速网络、三地数据中心（杭州/成都/厦门）。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二层：基础设施与云平台层。以青云KubeSphere企业版为容器云底座，提供多集群统一管理、全栈可观测性、DevOps自动化流水线；以青云AI智算平台提供GPU调度、AI训练推理、模型全生命周期管理；以青云软件定义存储提供分布式存储与备份容灾能力；全面支持信创国产化适配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第三层：生产执行与研发设计层。包括MES制造执行系统（工单管理、追溯、SPC）、EDA芯片设计与仿真平台、CIM设备自动化系统、YMS良率管理分析、AI辅助设计等，是半导体IDM企业的核心生产力层。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第四层：业务运营与管理层。包括ERP（财务/供应链/采购）、CRM客户关系管理、PLM产品全生命周期管理、SCM供应商管理、BI经营数据分析等，实现业务端到端数字化管理。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第五层：协同办公与门户层。涵盖OA审批流程、企业信息门户、邮件与即时通讯、视频会议系统、HR行政系统等，支撑企业日常办公与协作需求。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第六层：数据安全与合规层。覆盖数据分级分类、访问控制与审计（IAM/SSO）、网络安全防护（WAF/防火墙/IPS）、数据备份与容灾、等保合规审计等。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四、青云KubeSphere+AI智算平台方案</w:t>
      </w:r>
    </w:p>
    <w:p>
      <w:pPr>
        <w:spacing w:before="120" w:after="60"/>
        <w:ind w:firstLine="0"/>
      </w:pPr>
      <w:r>
        <w:rPr>
          <w:rFonts w:ascii="楷体" w:hAnsi="楷体" w:eastAsia="楷体"/>
          <w:b/>
          <w:sz w:val="32"/>
        </w:rPr>
        <w:t>（一）KubeSphere企业版核心能力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KubeSphere企业版（KSE 4.2）是青云科技打造的新一代云原生操作系统，基于KubeSphere LuBan可扩展开放架构，在Kubernetes之上深度融合多云管理、微服务治理、应用可观测等核心能力。针对士兰微的实际需求，核心匹配能力如下。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一是多集群统一管理。实现杭州、成都、厦门三地集群的统一纳管与策略统一下发，消除信息孤岛，实现集团级资源管控。二是全栈可观测性。提供多维度监控告警、日志审计、链路追踪，保障生产系统SLA，支撑运维团队快速定位问题。三是GPU调度管理。支持GPU资源的细粒度调度与监控，满足AI与EDA仿真算力需求。四是易捷版DevOps。内置CI/CD流水线，加速芯片设计迭代与交付效率。五是多租户与权限管理。按业务线（研发/制造/运营）进行资源隔离与配额管理，满足多部门共享平台需求。六是应用商店。提供Helm应用一键部署，加速中间件（Redis、RocketMQ等）的交付。</w:t>
      </w:r>
    </w:p>
    <w:p>
      <w:pPr>
        <w:spacing w:before="120" w:after="60"/>
        <w:ind w:firstLine="0"/>
      </w:pPr>
      <w:r>
        <w:rPr>
          <w:rFonts w:ascii="楷体" w:hAnsi="楷体" w:eastAsia="楷体"/>
          <w:b/>
          <w:sz w:val="32"/>
        </w:rPr>
        <w:t>（二）青云AI智算平台能力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青云AI智算平台基于统一全栈架构打造AI算力底座，具备异构算力调度能力，可有效支撑士兰微在EDA仿真加速、芯片设计优化、良率预测分析、智能排产等场景的AI算力需求。平台支持GPU、NPU、CPU混合调度，提供训练任务管理与资源配额管控，内置算法开发环境与模型管理，并与KubeSphere容器平台深度集成，实现算力资源的统一运营与调度。</w:t>
      </w:r>
    </w:p>
    <w:p>
      <w:pPr>
        <w:spacing w:before="120" w:after="60"/>
        <w:ind w:firstLine="0"/>
      </w:pPr>
      <w:r>
        <w:rPr>
          <w:rFonts w:ascii="楷体" w:hAnsi="楷体" w:eastAsia="楷体"/>
          <w:b/>
          <w:sz w:val="32"/>
        </w:rPr>
        <w:t>（三）信创国产化支持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青云KubeSphere企业版全面支持信创国产化，已完成与鲲鹏、飞腾、海光等国产CPU及麒麟、统信等国产操作系统的适配认证，满足士兰微作为半导体行业重点企业的信创改造需求。青云科技已入选年度十大信创云品牌，在国家电网、金融等行业积累了丰富的信创落地经验。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五、方案价值总结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通过部署青云KubeSphere企业版及AI智算平台，可为士兰微带来以下核心价值。一是实现多基地IT基础设施统一管理，降低运维复杂度与人力成本。二是构建企业级AI算力底座，加速EDA仿真与AI辅助设计进程。三是提升生产系统可用性与可观测性，保障制造业务连续性。四是满足信创国产化合规要求，平滑推进自主可控进程。五是降低整体IT建设成本，实现从资源消耗型向平台运营型转变。</w:t>
      </w:r>
    </w:p>
    <w:sectPr w:rsidR="00FC693F" w:rsidRPr="0006063C" w:rsidSect="00034616">
      <w:pgSz w:w="11906" w:h="16838"/>
      <w:pgMar w:top="2098" w:right="1474" w:bottom="1984" w:left="1587" w:header="720" w:footer="720" w:gutter="0"/>
      <w:cols w:space="720"/>
      <w:docGrid w:linePitch="360"/>
    </w:sectPr>
    <w:p>
      <w:pPr>
        <w:jc w:val="center"/>
      </w:pPr>
      <w:r>
        <w:pict>
          <v:group style="width:500pt;height:380pt" coordsize="500,380" coordorigin="0,0">
            <v:rect style="position:absolute;left:205pt;top:5pt;width:90pt;height:24pt" fillcolor="#1F4E79" strokecolor="#1F4E79" strokeweight="1pt">
              <v:textbox>
                <w:txbxContent>
                  <w:p>
                    <w:pPr>
                      <w:jc w:val="center"/>
                    </w:pPr>
                    <w:r>
                      <w:rPr>
                        <w:rFonts w:eastAsia="黑体"/>
                        <w:b/>
                        <w:sz w:val="16"/>
                        <w:color w:val="FFFFFF"/>
                      </w:rPr>
                      <w:t>股东大会</w:t>
                    </w:r>
                  </w:p>
                </w:txbxContent>
              </v:textbox>
            </v:rect>
            <v:line from="250,29" to="250,39" strokecolor="#333333"/>
            <v:rect style="position:absolute;left:170pt;top:41pt;width:80pt;height:24pt" fillcolor="#1F4E79" strokecolor="#1F4E79" strokeweight="1pt">
              <v:textbox>
                <w:txbxContent>
                  <w:p>
                    <w:pPr>
                      <w:jc w:val="center"/>
                    </w:pPr>
                    <w:r>
                      <w:rPr>
                        <w:rFonts w:eastAsia="黑体"/>
                        <w:b/>
                        <w:sz w:val="16"/>
                        <w:color w:val="FFFFFF"/>
                      </w:rPr>
                      <w:t>董事会</w:t>
                    </w:r>
                  </w:p>
                </w:txbxContent>
              </v:textbox>
            </v:rect>
            <v:rect style="position:absolute;left:252pt;top:41pt;width:78pt;height:24pt" fillcolor="#1F4E79" strokecolor="#1F4E79" strokeweight="1pt">
              <v:textbox>
                <w:txbxContent>
                  <w:p>
                    <w:pPr>
                      <w:jc w:val="center"/>
                    </w:pPr>
                    <w:r>
                      <w:rPr>
                        <w:rFonts w:eastAsia="黑体"/>
                        <w:b/>
                        <w:sz w:val="16"/>
                        <w:color w:val="FFFFFF"/>
                      </w:rPr>
                      <w:t>监事会</w:t>
                    </w:r>
                  </w:p>
                </w:txbxContent>
              </v:textbox>
            </v:rect>
            <v:line from="250,39" to="210,41" strokecolor="#333333"/>
            <v:line from="250,39" to="291,41" strokecolor="#333333"/>
            <v:rect style="position:absolute;left:205pt;top:77pt;width:90pt;height:24pt" fillcolor="#4472C4" strokecolor="#4472C4" strokeweight="1pt">
              <v:textbox>
                <w:txbxContent>
                  <w:p>
                    <w:pPr>
                      <w:jc w:val="center"/>
                    </w:pPr>
                    <w:r>
                      <w:rPr>
                        <w:rFonts w:eastAsia="黑体"/>
                        <w:b/>
                        <w:sz w:val="16"/>
                        <w:color w:val="FFFFFF"/>
                      </w:rPr>
                      <w:t>总经理</w:t>
                    </w:r>
                  </w:p>
                </w:txbxContent>
              </v:textbox>
            </v:rect>
            <v:line from="210,65" to="250,77" strokecolor="#333333"/>
            <v:rect style="position:absolute;left:46pt;top:113pt;width:75pt;height:32pt" fillcolor="#D6E4F0" strokecolor="#4472C4" strokeweight="1pt">
              <v:textbox>
                <w:txbxContent>
                  <w:p>
                    <w:pPr>
                      <w:jc w:val="center"/>
                    </w:pPr>
                    <w:r>
                      <w:rPr>
                        <w:rFonts w:eastAsia="仿宋"/>
                        <w:sz w:val="14"/>
                      </w:rPr>
                      <w:t>研发中心</w:t>
                    </w:r>
                  </w:p>
                </w:txbxContent>
              </v:textbox>
            </v:rect>
            <v:line from="250,101" to="83,113" strokecolor="#333333"/>
            <v:rect style="position:absolute;left:129pt;top:113pt;width:75pt;height:32pt" fillcolor="#D6E4F0" strokecolor="#4472C4" strokeweight="1pt">
              <v:textbox>
                <w:txbxContent>
                  <w:p>
                    <w:pPr>
                      <w:jc w:val="center"/>
                    </w:pPr>
                    <w:r>
                      <w:rPr>
                        <w:rFonts w:eastAsia="仿宋"/>
                        <w:sz w:val="14"/>
                      </w:rPr>
                      <w:t>制造中心</w:t>
                    </w:r>
                  </w:p>
                </w:txbxContent>
              </v:textbox>
            </v:rect>
            <v:line from="250,101" to="166,113" strokecolor="#333333"/>
            <v:rect style="position:absolute;left:212pt;top:113pt;width:75pt;height:32pt" fillcolor="#D6E4F0" strokecolor="#4472C4" strokeweight="1pt">
              <v:textbox>
                <w:txbxContent>
                  <w:p>
                    <w:pPr>
                      <w:jc w:val="center"/>
                    </w:pPr>
                    <w:r>
                      <w:rPr>
                        <w:rFonts w:eastAsia="仿宋"/>
                        <w:sz w:val="14"/>
                      </w:rPr>
                      <w:t>市场销售
中心</w:t>
                    </w:r>
                  </w:p>
                </w:txbxContent>
              </v:textbox>
            </v:rect>
            <v:line from="250,101" to="249,113" strokecolor="#333333"/>
            <v:rect style="position:absolute;left:295pt;top:113pt;width:75pt;height:32pt" fillcolor="#D6E4F0" strokecolor="#4472C4" strokeweight="1pt">
              <v:textbox>
                <w:txbxContent>
                  <w:p>
                    <w:pPr>
                      <w:jc w:val="center"/>
                    </w:pPr>
                    <w:r>
                      <w:rPr>
                        <w:rFonts w:eastAsia="仿宋"/>
                        <w:sz w:val="14"/>
                      </w:rPr>
                      <w:t>信息技术部
（IT）</w:t>
                    </w:r>
                  </w:p>
                </w:txbxContent>
              </v:textbox>
            </v:rect>
            <v:line from="250,101" to="332,113" strokecolor="#333333"/>
            <v:rect style="position:absolute;left:378pt;top:113pt;width:75pt;height:32pt" fillcolor="#D6E4F0" strokecolor="#4472C4" strokeweight="1pt">
              <v:textbox>
                <w:txbxContent>
                  <w:p>
                    <w:pPr>
                      <w:jc w:val="center"/>
                    </w:pPr>
                    <w:r>
                      <w:rPr>
                        <w:rFonts w:eastAsia="仿宋"/>
                        <w:sz w:val="14"/>
                      </w:rPr>
                      <w:t>质量与
可靠性部</w:t>
                    </w:r>
                  </w:p>
                </w:txbxContent>
              </v:textbox>
            </v:rect>
            <v:line from="250,101" to="415,113" strokecolor="#333333"/>
            <v:rect style="position:absolute;left:105pt;top:157pt;width:90pt;height:24pt" fillcolor="#E2EFDA" strokecolor="#548235" strokeweight="1pt">
              <v:textbox>
                <w:txbxContent>
                  <w:p>
                    <w:pPr>
                      <w:jc w:val="center"/>
                    </w:pPr>
                    <w:r>
                      <w:rPr>
                        <w:rFonts w:eastAsia="仿宋"/>
                        <w:sz w:val="12"/>
                      </w:rPr>
                      <w:t>杭州制造基地
（5吋/6吋/8吋）</w:t>
                    </w:r>
                  </w:p>
                </w:txbxContent>
              </v:textbox>
            </v:rect>
            <v:line from="166,145" to="150,157" strokecolor="#333333"/>
            <v:rect style="position:absolute;left:205pt;top:157pt;width:90pt;height:24pt" fillcolor="#E2EFDA" strokecolor="#548235" strokeweight="1pt">
              <v:textbox>
                <w:txbxContent>
                  <w:p>
                    <w:pPr>
                      <w:jc w:val="center"/>
                    </w:pPr>
                    <w:r>
                      <w:rPr>
                        <w:rFonts w:eastAsia="仿宋"/>
                        <w:sz w:val="12"/>
                      </w:rPr>
                      <w:t>成都制造基地
（功率模块封装）</w:t>
                    </w:r>
                  </w:p>
                </w:txbxContent>
              </v:textbox>
            </v:rect>
            <v:line from="166,145" to="250,157" strokecolor="#333333"/>
            <v:rect style="position:absolute;left:305pt;top:157pt;width:90pt;height:24pt" fillcolor="#E2EFDA" strokecolor="#548235" strokeweight="1pt">
              <v:textbox>
                <w:txbxContent>
                  <w:p>
                    <w:pPr>
                      <w:jc w:val="center"/>
                    </w:pPr>
                    <w:r>
                      <w:rPr>
                        <w:rFonts w:eastAsia="仿宋"/>
                        <w:sz w:val="12"/>
                      </w:rPr>
                      <w:t>厦门制造基地
（12吋/化合物）</w:t>
                    </w:r>
                  </w:p>
                </w:txbxContent>
              </v:textbox>
            </v:rect>
            <v:line from="166,145" to="350,157" strokecolor="#333333"/>
            <v:rect style="position:absolute;left:380pt;top:5pt;width:115pt;height:18pt" fillcolor="#E2EFDA" strokecolor="#548235" strokeweight="0.5pt">
              <v:textbox>
                <w:txbxContent>
                  <w:p>
                    <w:pPr>
                      <w:jc w:val="center"/>
                    </w:pPr>
                    <w:r>
                      <w:rPr>
                        <w:rFonts w:eastAsia="仿宋"/>
                        <w:sz w:val="10"/>
                      </w:rPr>
                      <w:t>制造/封装基地</w:t>
                    </w:r>
                  </w:p>
                </w:txbxContent>
              </v:textbox>
            </v:rect>
          </v:group>
        </w:pict>
      </w:r>
    </w:p>
    <w:p>
      <w:pPr>
        <w:jc w:val="center"/>
      </w:pPr>
      <w:r>
        <w:pict>
          <v:group style="width:500pt;height:420pt" coordsize="500,420" coordorigin="0,0">
            <v:rect style="position:absolute;left:10pt;top:42pt;width:130pt;height:52pt" fillcolor="#FCE4EC" strokecolor="#4472C4" strokeweight="1pt">
              <v:textbox>
                <w:txbxContent>
                  <w:p>
                    <w:pPr>
                      <w:jc w:val="center"/>
                    </w:pPr>
                    <w:r>
                      <w:rPr>
                        <w:rFonts w:eastAsia="仿宋"/>
                        <w:b/>
                        <w:sz w:val="11"/>
                      </w:rPr>
                      <w:t>六、数据安全与合规层</w:t>
                    </w:r>
                  </w:p>
                </w:txbxContent>
              </v:textbox>
            </v:rect>
            <v:rect style="position:absolute;left:144pt;top:42pt;width:340pt;height:52pt" fillcolor="#FFFFFF" strokecolor="#4472C4" strokeweight="1pt">
              <v:textbox>
                <w:txbxContent>
                  <w:p>
                    <w:pPr>
                      <w:jc w:val="center"/>
                    </w:pPr>
                    <w:r>
                      <w:rPr>
                        <w:rFonts w:eastAsia="仿宋"/>
                        <w:sz w:val="11"/>
                      </w:rPr>
                      <w:t>数据分级分类/访问控制|网络安全防护/等保|数据备份容灾</w:t>
                    </w:r>
                  </w:p>
                </w:txbxContent>
              </v:textbox>
            </v:rect>
            <v:line from="314,94" to="314,98" strokecolor="#4472C4" strokeweight="1.5pt"/>
            <v:rect style="position:absolute;left:10pt;top:98pt;width:130pt;height:52pt" fillcolor="#E8F5E9" strokecolor="#4472C4" strokeweight="1pt">
              <v:textbox>
                <w:txbxContent>
                  <w:p>
                    <w:pPr>
                      <w:jc w:val="center"/>
                    </w:pPr>
                    <w:r>
                      <w:rPr>
                        <w:rFonts w:eastAsia="仿宋"/>
                        <w:b/>
                        <w:sz w:val="11"/>
                      </w:rPr>
                      <w:t>五、协同办公与门户层</w:t>
                    </w:r>
                  </w:p>
                </w:txbxContent>
              </v:textbox>
            </v:rect>
            <v:rect style="position:absolute;left:144pt;top:98pt;width:340pt;height:52pt" fillcolor="#FFFFFF" strokecolor="#4472C4" strokeweight="1pt">
              <v:textbox>
                <w:txbxContent>
                  <w:p>
                    <w:pPr>
                      <w:jc w:val="center"/>
                    </w:pPr>
                    <w:r>
                      <w:rPr>
                        <w:rFonts w:eastAsia="仿宋"/>
                        <w:sz w:val="11"/>
                      </w:rPr>
                      <w:t>OA审批/企业门户|邮件通讯/视频会议|HR行政管理</w:t>
                    </w:r>
                  </w:p>
                </w:txbxContent>
              </v:textbox>
            </v:rect>
            <v:line from="314,150" to="314,154" strokecolor="#4472C4" strokeweight="1.5pt"/>
            <v:rect style="position:absolute;left:10pt;top:154pt;width:130pt;height:52pt" fillcolor="#FFF3E0" strokecolor="#4472C4" strokeweight="1pt">
              <v:textbox>
                <w:txbxContent>
                  <w:p>
                    <w:pPr>
                      <w:jc w:val="center"/>
                    </w:pPr>
                    <w:r>
                      <w:rPr>
                        <w:rFonts w:eastAsia="仿宋"/>
                        <w:b/>
                        <w:sz w:val="11"/>
                      </w:rPr>
                      <w:t>四、业务运营与管理层</w:t>
                    </w:r>
                  </w:p>
                </w:txbxContent>
              </v:textbox>
            </v:rect>
            <v:rect style="position:absolute;left:144pt;top:154pt;width:340pt;height:52pt" fillcolor="#FFFFFF" strokecolor="#4472C4" strokeweight="1pt">
              <v:textbox>
                <w:txbxContent>
                  <w:p>
                    <w:pPr>
                      <w:jc w:val="center"/>
                    </w:pPr>
                    <w:r>
                      <w:rPr>
                        <w:rFonts w:eastAsia="仿宋"/>
                        <w:sz w:val="11"/>
                      </w:rPr>
                      <w:t>ERP/财务供应链|CRM客户管理|PLM/SCM|BI数据分析</w:t>
                    </w:r>
                  </w:p>
                </w:txbxContent>
              </v:textbox>
            </v:rect>
            <v:line from="314,206" to="314,210" strokecolor="#4472C4" strokeweight="1.5pt"/>
            <v:rect style="position:absolute;left:10pt;top:210pt;width:130pt;height:52pt" fillcolor="#E3F2FD" strokecolor="#4472C4" strokeweight="1pt">
              <v:textbox>
                <w:txbxContent>
                  <w:p>
                    <w:pPr>
                      <w:jc w:val="center"/>
                    </w:pPr>
                    <w:r>
                      <w:rPr>
                        <w:rFonts w:eastAsia="仿宋"/>
                        <w:b/>
                        <w:sz w:val="11"/>
                      </w:rPr>
                      <w:t>三、生产执行与研发设计层
（半导体IDM核心）</w:t>
                    </w:r>
                  </w:p>
                </w:txbxContent>
              </v:textbox>
            </v:rect>
            <v:rect style="position:absolute;left:144pt;top:210pt;width:340pt;height:52pt" fillcolor="#FFFFFF" strokecolor="#4472C4" strokeweight="1pt">
              <v:textbox>
                <w:txbxContent>
                  <w:p>
                    <w:pPr>
                      <w:jc w:val="center"/>
                    </w:pPr>
                    <w:r>
                      <w:rPr>
                        <w:rFonts w:eastAsia="仿宋"/>
                        <w:sz w:val="11"/>
                      </w:rPr>
                      <w:t>MES制造执行|CIM设备自动化|YMS良率分析|EDA仿真/AI辅助设计</w:t>
                    </w:r>
                  </w:p>
                </w:txbxContent>
              </v:textbox>
            </v:rect>
            <v:line from="314,262" to="314,266" strokecolor="#4472C4" strokeweight="1.5pt"/>
            <v:rect style="position:absolute;left:10pt;top:266pt;width:130pt;height:52pt" fillcolor="#F3E5F5" strokecolor="#4472C4" strokeweight="1pt">
              <v:textbox>
                <w:txbxContent>
                  <w:p>
                    <w:pPr>
                      <w:jc w:val="center"/>
                    </w:pPr>
                    <w:r>
                      <w:rPr>
                        <w:rFonts w:eastAsia="仿宋"/>
                        <w:b/>
                        <w:sz w:val="11"/>
                      </w:rPr>
                      <w:t>二、基础设施与云平台层
（青云KubeSphere+AI智算平台）</w:t>
                    </w:r>
                  </w:p>
                </w:txbxContent>
              </v:textbox>
            </v:rect>
            <v:rect style="position:absolute;left:144pt;top:266pt;width:340pt;height:52pt" fillcolor="#FFFFFF" strokecolor="#4472C4" strokeweight="1pt">
              <v:textbox>
                <w:txbxContent>
                  <w:p>
                    <w:pPr>
                      <w:jc w:val="center"/>
                    </w:pPr>
                    <w:r>
                      <w:rPr>
                        <w:rFonts w:eastAsia="仿宋"/>
                        <w:sz w:val="11"/>
                      </w:rPr>
                      <w:t>多集群统一管理|全栈可观测性|GPU调度/AI训练|DevOps自动化|信创适配</w:t>
                    </w:r>
                  </w:p>
                </w:txbxContent>
              </v:textbox>
            </v:rect>
            <v:line from="314,318" to="314,322" strokecolor="#4472C4" strokeweight="1.5pt"/>
            <v:rect style="position:absolute;left:10pt;top:322pt;width:130pt;height:52pt" fillcolor="#E0E0E0" strokecolor="#4472C4" strokeweight="1pt">
              <v:textbox>
                <w:txbxContent>
                  <w:p>
                    <w:pPr>
                      <w:jc w:val="center"/>
                    </w:pPr>
                    <w:r>
                      <w:rPr>
                        <w:rFonts w:eastAsia="仿宋"/>
                        <w:b/>
                        <w:sz w:val="11"/>
                      </w:rPr>
                      <w:t>一、硬件与网络层</w:t>
                    </w:r>
                  </w:p>
                </w:txbxContent>
              </v:textbox>
            </v:rect>
            <v:rect style="position:absolute;left:144pt;top:322pt;width:340pt;height:52pt" fillcolor="#FFFFFF" strokecolor="#4472C4" strokeweight="1pt">
              <v:textbox>
                <w:txbxContent>
                  <w:p>
                    <w:pPr>
                      <w:jc w:val="center"/>
                    </w:pPr>
                    <w:r>
                      <w:rPr>
                        <w:rFonts w:eastAsia="仿宋"/>
                        <w:sz w:val="11"/>
                      </w:rPr>
                      <w:t>x86/ARM/信创服务器|GPU算力集群|存储设备（全闪/对象）|万兆/IB网络|三地数据中心</w:t>
                    </w:r>
                  </w:p>
                </w:txbxContent>
              </v:textbox>
            </v:rect>
            <v:rect style="position:absolute;left:450pt;top:183pt;width:40pt;height:50pt" fillcolor="white" strokecolor="white" strokeweight="0pt">
              <v:textbox>
                <w:txbxContent>
                  <w:p>
                    <w:pPr>
                      <w:jc w:val="center"/>
                    </w:pPr>
                    <w:r>
                      <w:rPr>
                        <w:rFonts w:eastAsia="仿宋"/>
                        <w:sz w:val="10"/>
                        <w:color w:val="4472C4"/>
                      </w:rPr>
                      <w:t>统一
底座</w:t>
                    </w:r>
                  </w:p>
                </w:txbxContent>
              </v:textbox>
            </v:rect>
          </v:group>
        </w:pic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560" w:lineRule="exact"/>
      <w:ind w:firstLine="640"/>
    </w:pPr>
    <w:rPr>
      <w:rFonts w:ascii="仿宋" w:hAnsi="仿宋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