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黑体" w:hAnsi="黑体" w:eastAsia="黑体"/>
          <w:b/>
          <w:sz w:val="44"/>
        </w:rPr>
        <w:t>士兰微组织架构与IT架构方案</w:t>
      </w:r>
    </w:p>
    <w:p>
      <w:pPr>
        <w:spacing w:after="120"/>
        <w:ind w:firstLine="0"/>
        <w:jc w:val="center"/>
      </w:pPr>
      <w:r>
        <w:rPr>
          <w:rFonts w:ascii="仿宋" w:hAnsi="仿宋" w:eastAsia="仿宋"/>
          <w:sz w:val="32"/>
        </w:rPr>
        <w:t>——基于青云KubeSphere企业版及AI智算平台的IT架构规划</w:t>
      </w:r>
    </w:p>
    <w:p>
      <w:pPr>
        <w:spacing w:before="480"/>
        <w:ind w:firstLine="0"/>
        <w:jc w:val="right"/>
      </w:pPr>
      <w:r>
        <w:rPr>
          <w:rFonts w:ascii="仿宋" w:hAnsi="仿宋" w:eastAsia="仿宋"/>
          <w:sz w:val="24"/>
        </w:rPr>
        <w:t>文档版本：V1.0</w:t>
        <w:br/>
        <w:t>编制日期：2026年6月12日</w:t>
        <w:br/>
        <w:t>编制单位：青云科技销售部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一、公司概况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杭州士兰微电子股份有限公司（证券代码：600460）成立于1997年9月，总部位于杭州高新技术产业开发区，是国内第一家在中国境内上市的集成电路芯片设计企业。公司采用IDM（设计与制造一体化）运营模式，打通了"芯片设计—芯片制造—芯片封装"全产业链，芯片产线实现了从5吋到12吋的跨越，并从硅基产线拓展到化合物产线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2025年度，公司营业总收入为130.52亿元，同比增长16.32%，归属于母公司股东的净利润为3.99亿元，同比增长81.27%。公司产品和研发投入主要集中在功率半导体与化合物器件、功率驱动与控制系统、MEMS传感器、ASIC产品、光电产品五大领域。公司拥有超过800人的芯片设计研发团队和超过3600人的工艺、封装、测试技术研发队伍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二、公司组织架构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公司形成了以股东大会为最高权力机构、董事会为决策机构、总经理为执行负责人的规范治理结构。核心管理层包括：董事长陈向东、副董事长范伟宏、副董事长兼总经理郑少波。下设研发中心、制造中心、市场销售中心、信息技术部、质量与可靠性部、职能总部等核心部门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19999" cy="57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19999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仿宋" w:hAnsi="仿宋" w:eastAsia="仿宋"/>
          <w:sz w:val="20"/>
        </w:rPr>
        <w:t>图一  士兰微电子组织架构示意图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信息技术部为公司信息化与数字化转型的核心部门，下设IT基础架构组、ERP/SAP运维、MES/CIM系统、容器云/DevOps、信息安全、大数据/AI平台等专业团队，负责公司整体IT规划与建设。针对本次容器云平台建设项目，信息技术部为直接对接部门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控股子公司包括：杭州士兰集成电路有限公司（5吋/6吋线）、杭州士兰集昕微电子有限公司（8吋线）、成都士兰半导体制造有限公司（功率模块封装）、成都集佳科技有限公司、厦门士兰明镓化合物半导体有限公司（SiC功率器件、LED芯片）。参股公司包括：厦门士兰集科微电子有限公司（12吋线）、厦门士兰集宏半导体有限公司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三、IT架构现状与规划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士兰微作为国内领先的IDM半导体企业，在信息化建设方面已构建了较为完善的IT体系，涵盖ERP、MES、CIM、EDA仿真等核心系统。然而，随着企业规模持续扩大和AI技术快速发展，现有IT架构面临以下挑战：一是多基地（杭州、成都、厦门）间IT系统独立部署，缺乏统一管控平台；二是现有K8s集群管理方式原始，缺少自动化运维能力；三是AI与EDA仿真算力需求快速增长，传统计算架构难以满足；四是信创国产化改造需求迫切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（一）IT架构分层规划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基于青云KubeSphere企业版（KSE 4.2）和青云AI智算平台，为士兰微规划六层IT架构体系，以青云统一底座贯通各层级、赋能全业务。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19999" cy="57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19999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仿宋" w:hAnsi="仿宋" w:eastAsia="仿宋"/>
          <w:sz w:val="20"/>
        </w:rPr>
        <w:t>图二  士兰微IT架构分层示意图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第一层：硬件与网络层。包括x86/ARM/信创计算服务器、GPU算力集群（训练卡/推理卡）、全闪/混闪/对象存储设备、万兆/IB高速网络、三地数据中心（杭州/成都/厦门）。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二层：基础设施与云平台层。以青云KubeSphere企业版为容器云底座，提供多集群统一管理、全栈可观测性、DevOps自动化流水线；以青云AI智算平台提供GPU调度、AI训练推理、模型全生命周期管理；以青云软件定义存储提供分布式存储与备份容灾能力；全面支持信创国产化适配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第三层：生产执行与研发设计层。包括MES制造执行系统（工单管理、追溯、SPC）、EDA芯片设计与仿真平台、CIM设备自动化系统、YMS良率管理分析、AI辅助设计等，是半导体IDM企业的核心生产力层。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第四层：业务运营与管理层。包括ERP（财务/供应链/采购）、CRM客户关系管理、PLM产品全生命周期管理、SCM供应商管理、BI经营数据分析等，实现业务端到端数字化管理。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第五层：协同办公与门户层。涵盖OA审批流程、企业信息门户、邮件与即时通讯、视频会议系统、HR行政系统等，支撑企业日常办公与协作需求。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第六层：数据安全与合规层。覆盖数据分级分类、访问控制与审计（IAM/SSO）、网络安全防护（WAF/防火墙/IPS）、数据备份与容灾、等保合规审计等。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四、青云KubeSphere+AI智算平台方案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（一）KubeSphere企业版核心能力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KubeSphere企业版（KSE 4.2）是青云科技打造的新一代云原生操作系统，基于KubeSphere LuBan可扩展开放架构，在Kubernetes之上深度融合多云管理、微服务治理、应用可观测等核心能力。针对士兰微的实际需求，核心匹配能力如下。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一是多集群统一管理。实现杭州、成都、厦门三地集群的统一纳管与策略统一下发，消除信息孤岛，实现集团级资源管控。二是全栈可观测性。提供多维度监控告警、日志审计、链路追踪，保障生产系统SLA，支撑运维团队快速定位问题。三是GPU调度管理。支持GPU资源的细粒度调度与监控，满足AI与EDA仿真算力需求。四是易捷版DevOps。内置CI/CD流水线，加速芯片设计迭代与交付效率。五是多租户与权限管理。按业务线（研发/制造/运营）进行资源隔离与配额管理，满足多部门共享平台需求。六是应用商店。提供Helm应用一键部署，加速中间件（Redis、RocketMQ等）的交付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（二）青云AI智算平台能力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青云AI智算平台基于统一全栈架构打造AI算力底座，具备异构算力调度能力，可有效支撑士兰微在EDA仿真加速、芯片设计优化、良率预测分析、智能排产等场景的AI算力需求。平台支持GPU、NPU、CPU混合调度，提供训练任务管理与资源配额管控，内置算法开发环境与模型管理，并与KubeSphere容器平台深度集成，实现算力资源的统一运营与调度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（三）信创国产化支持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青云KubeSphere企业版全面支持信创国产化，已完成与鲲鹏、飞腾、海光等国产CPU及麒麟、统信等国产操作系统的适配认证，满足士兰微作为半导体行业重点企业的信创改造需求。青云科技已入选年度十大信创云品牌，在国家电网、金融等行业积累了丰富的信创落地经验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五、方案价值总结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通过部署青云KubeSphere企业版及AI智算平台，可为士兰微带来以下核心价值。一是实现多基地IT基础设施统一管理，降低运维复杂度与人力成本。二是构建企业级AI算力底座，加速EDA仿真与AI辅助设计进程。三是提升生产系统可用性与可观测性，保障制造业务连续性。四是满足信创国产化合规要求，平滑推进自主可控进程。五是降低整体IT建设成本，实现从资源消耗型向平台运营型转变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