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20" w:after="60"/>
        <w:ind w:firstLine="0"/>
        <w:jc w:val="center"/>
      </w:pPr>
      <w:r>
        <w:rPr>
          <w:rFonts w:ascii="黑体" w:hAnsi="黑体" w:eastAsia="黑体"/>
          <w:b/>
          <w:sz w:val="44"/>
        </w:rPr>
        <w:t>科百特组织架构与IT架构方案</w:t>
      </w:r>
    </w:p>
    <w:p>
      <w:pPr>
        <w:spacing w:after="6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120" w:after="6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杭州科百特过滤器材有限公司（Cobetter）成立于2003年，是全球领先的创新型过滤企业，专注于纳米级过滤分离膜技术的研发与应用，是国家制造业单项冠军示范企业，荣获国家科技进步奖一等奖。总部位于浙江杭州萧山区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公司现有员工8100余人，其中工程师3400余人，建有42个研究与应用中心。2025年营业总收入约50亿元，服务全球132个国家的客户。公司产品覆盖生物医药、集成电路、医疗健康、新能源等领域，突破除病毒过滤、ECMO膜材等关键技术，打破国外长期垄断。</w:t>
      </w:r>
    </w:p>
    <w:p>
      <w:pPr>
        <w:spacing w:before="120" w:after="6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公司形成了以股东大会为最高权力机构、董事会为决策机构、总经理为执行负责人的规范治理结构。董事长张应民为公司创始人兼法定代表人。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（一）组织架构表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4"/>
        <w:gridCol w:w="1264"/>
        <w:gridCol w:w="1264"/>
        <w:gridCol w:w="1264"/>
        <w:gridCol w:w="1264"/>
        <w:gridCol w:w="1264"/>
        <w:gridCol w:w="1264"/>
      </w:tblGrid>
      <w:tr>
        <w:tc>
          <w:tcPr>
            <w:tcW w:type="dxa" w:w="10487"/>
            <w:gridSpan w:val="7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8"/>
              </w:rPr>
              <w:t>股东大会</w:t>
            </w:r>
          </w:p>
        </w:tc>
      </w:tr>
      <w:tr>
        <w:tc>
          <w:tcPr>
            <w:tcW w:type="dxa" w:w="4535"/>
            <w:gridSpan w:val="3"/>
            <w:shd w:fill="2E75B6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4"/>
              </w:rPr>
              <w:t>董事会</w:t>
            </w:r>
          </w:p>
        </w:tc>
        <w:tc>
          <w:tcPr>
            <w:tcW w:type="dxa" w:w="2834"/>
            <w:gridSpan w:val="2"/>
            <w:shd w:fill="2E75B6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4"/>
              </w:rPr>
              <w:t>监事会</w:t>
            </w:r>
          </w:p>
        </w:tc>
        <w:tc>
          <w:tcPr>
            <w:tcW w:type="dxa" w:w="3118"/>
            <w:gridSpan w:val="2"/>
            <w:shd w:fill="2E75B6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FFFFFF"/>
                <w:sz w:val="20"/>
              </w:rPr>
              <w:t>审计委员会</w:t>
            </w:r>
          </w:p>
        </w:tc>
      </w:tr>
      <w:tr>
        <w:tc>
          <w:tcPr>
            <w:tcW w:type="dxa" w:w="10487"/>
            <w:gridSpan w:val="7"/>
            <w:shd w:fill="4472C4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6"/>
              </w:rPr>
              <w:t>总经理（CEO）  张应民</w:t>
            </w:r>
          </w:p>
        </w:tc>
      </w:tr>
      <w:tr>
        <w:tc>
          <w:tcPr>
            <w:tcW w:type="dxa" w:w="3118"/>
            <w:gridSpan w:val="2"/>
            <w:shd w:fill="D6E4F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研发副总裁</w:t>
            </w:r>
          </w:p>
        </w:tc>
        <w:tc>
          <w:tcPr>
            <w:tcW w:type="dxa" w:w="2834"/>
            <w:gridSpan w:val="2"/>
            <w:shd w:fill="D6E4F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制造/运营副总裁</w:t>
            </w:r>
          </w:p>
        </w:tc>
        <w:tc>
          <w:tcPr>
            <w:tcW w:type="dxa" w:w="2834"/>
            <w:gridSpan w:val="2"/>
            <w:shd w:fill="D6E4F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销售/市场副总裁</w:t>
            </w:r>
          </w:p>
        </w:tc>
        <w:tc>
          <w:tcPr>
            <w:tcW w:type="dxa" w:w="1701"/>
            <w:shd w:fill="D6E4F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CTO/首席技术官</w:t>
            </w:r>
          </w:p>
        </w:tc>
      </w:tr>
      <w:tr>
        <w:tc>
          <w:tcPr>
            <w:tcW w:type="dxa" w:w="1701"/>
            <w:shd w:fill="BDD7EE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研发中心</w:t>
            </w:r>
          </w:p>
        </w:tc>
        <w:tc>
          <w:tcPr>
            <w:tcW w:type="dxa" w:w="4251"/>
            <w:gridSpan w:val="3"/>
            <w:shd w:fill="BDD7EE"/>
            <w:shd w:fill="BDD7EE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市场销售中心</w:t>
              <w:br/>
              <w:t>（国内/海外/子公司）</w:t>
            </w:r>
          </w:p>
        </w:tc>
        <w:tc>
          <w:tcPr>
            <w:tcW w:type="dxa" w:w="2834"/>
            <w:gridSpan w:val="2"/>
            <w:shd w:fill="BDD7EE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信息技术部</w:t>
              <w:br/>
              <w:t>（IT）</w:t>
            </w:r>
          </w:p>
        </w:tc>
        <w:tc>
          <w:tcPr>
            <w:tcW w:type="dxa" w:w="1701"/>
            <w:shd w:fill="BDD7EE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质量与可靠性部</w:t>
            </w:r>
          </w:p>
        </w:tc>
      </w:tr>
      <w:tr>
        <w:tc>
          <w:tcPr>
            <w:tcW w:type="dxa" w:w="1701"/>
            <w:shd w:fill="E2EFDA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研发管理部</w:t>
            </w:r>
          </w:p>
        </w:tc>
        <w:tc>
          <w:tcPr>
            <w:tcW w:type="dxa" w:w="1417"/>
            <w:shd w:fill="E2EFDA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生产管理部</w:t>
            </w:r>
          </w:p>
        </w:tc>
        <w:tc>
          <w:tcPr>
            <w:tcW w:type="dxa" w:w="1417"/>
            <w:shd w:fill="E2EFDA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国内销售部</w:t>
            </w:r>
          </w:p>
        </w:tc>
        <w:tc>
          <w:tcPr>
            <w:tcW w:type="dxa" w:w="1417"/>
            <w:shd w:fill="E2EFDA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海外销售部</w:t>
            </w:r>
          </w:p>
        </w:tc>
        <w:tc>
          <w:tcPr>
            <w:tcW w:type="dxa" w:w="2834"/>
            <w:gridSpan w:val="2"/>
            <w:shd w:fill="E2EFDA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IT基础架构组</w:t>
            </w:r>
          </w:p>
        </w:tc>
        <w:tc>
          <w:tcPr>
            <w:tcW w:type="dxa" w:w="1701"/>
            <w:shd w:fill="E2EFDA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质量管理部</w:t>
            </w:r>
          </w:p>
        </w:tc>
      </w:tr>
      <w:tr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2834"/>
            <w:gridSpan w:val="2"/>
            <w:shd w:fill="F2F2F2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6"/>
              </w:rPr>
              <w:t>ERP/SAP运维组 | MES/CIM系统组</w:t>
              <w:br/>
              <w:t>容器云/DevOps组 | 信息安全组</w:t>
              <w:br/>
              <w:t>大数据/AI平台组</w:t>
            </w:r>
          </w:p>
        </w:tc>
        <w:tc>
          <w:tcPr>
            <w:tcW w:type="dxa" w:w="1701"/>
          </w:tcPr>
          <w:p/>
        </w:tc>
      </w:tr>
      <w:tr>
        <w:tc>
          <w:tcPr>
            <w:tcW w:type="dxa" w:w="10487"/>
            <w:gridSpan w:val="7"/>
            <w:shd w:fill="E7E7E7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全资/控股子公司：科百特（上海）、科百特（日本）、科百特（韩国）、科百特（新加坡）、科百特（美国）、科百特（德国）、科百特（台湾）</w:t>
              <w:br/>
              <w:t>科百特（厦门）信息科技有限公司（IT子公司）</w:t>
            </w:r>
          </w:p>
        </w:tc>
      </w:tr>
      <w:tr>
        <w:tc>
          <w:tcPr>
            <w:tcW w:type="dxa" w:w="10487"/>
            <w:gridSpan w:val="7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6"/>
              </w:rPr>
              <w:t>注：■深蓝色 治理层  ■中蓝色 决策层  ■浅蓝色 执行层  ■绿色 职能层  ■灰色 子公司/IT子团队</w:t>
            </w:r>
          </w:p>
        </w:tc>
      </w:tr>
    </w:tbl>
    <w:p>
      <w:pPr>
        <w:spacing w:before="40" w:after="160"/>
        <w:ind w:firstLine="0"/>
        <w:jc w:val="center"/>
      </w:pPr>
      <w:r>
        <w:rPr>
          <w:rFonts w:ascii="仿宋" w:hAnsi="仿宋" w:eastAsia="仿宋"/>
          <w:sz w:val="20"/>
        </w:rPr>
        <w:t>图一  科百特过滤器材有限公司组织架构示意图</w:t>
      </w:r>
    </w:p>
    <w:p>
      <w:pPr>
        <w:spacing w:before="120" w:after="60"/>
        <w:ind w:firstLine="0"/>
      </w:pPr>
      <w:r>
        <w:rPr>
          <w:rFonts w:ascii="黑体" w:hAnsi="黑体" w:eastAsia="黑体"/>
          <w:b/>
          <w:sz w:val="32"/>
        </w:rPr>
        <w:t>三、信息技术部（IT）组织架构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科百特信息技术部（IT）是集团数字化转型的核心职能部门，由分管副总裁或CIO直接领导，负责公司整体信息化规划、系统建设、运维保障及信息安全等工作。根据公司全球业务布局及近50亿营收规模，IT团队规模约50至80人，下设五个专业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4"/>
        <w:gridCol w:w="1264"/>
        <w:gridCol w:w="1264"/>
        <w:gridCol w:w="1264"/>
        <w:gridCol w:w="1264"/>
        <w:gridCol w:w="1264"/>
        <w:gridCol w:w="1264"/>
      </w:tblGrid>
      <w:tr>
        <w:tc>
          <w:tcPr>
            <w:tcW w:type="dxa" w:w="8848"/>
            <w:gridSpan w:val="7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6"/>
              </w:rPr>
              <w:t>信息技术部（IT）    分管副总裁 / CIO</w:t>
            </w:r>
          </w:p>
        </w:tc>
      </w:tr>
      <w:tr>
        <w:tc>
          <w:tcPr>
            <w:tcW w:type="dxa" w:w="8848"/>
            <w:gridSpan w:val="7"/>
            <w:shd w:fill="2E75B6"/>
            <w:shd w:fill="2E75B6"/>
            <w:shd w:fill="2E75B6"/>
            <w:shd w:fill="2E75B6"/>
            <w:shd w:fill="2E75B6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大数据与</w:t>
              <w:br/>
              <w:t>AI平台组</w:t>
            </w:r>
          </w:p>
        </w:tc>
      </w:tr>
      <w:tr>
        <w:tc>
          <w:tcPr>
            <w:tcW w:type="dxa" w:w="8848"/>
            <w:gridSpan w:val="7"/>
            <w:shd w:fill="D6E4F0"/>
            <w:shd w:fill="D6E4F0"/>
            <w:shd w:fill="D6E4F0"/>
            <w:shd w:fill="D6E4F0"/>
            <w:shd w:fill="D6E4F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18"/>
              </w:rPr>
              <w:t>AI平台</w:t>
              <w:br/>
              <w:t>负责人</w:t>
            </w:r>
          </w:p>
        </w:tc>
      </w:tr>
      <w:tr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网络工程师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系统运维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DB管理员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容器/DevOps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存储/备份</w:t>
            </w:r>
          </w:p>
        </w:tc>
        <w:tc>
          <w:tcPr>
            <w:tcW w:type="dxa" w:w="1264"/>
          </w:tcPr>
          <w:p/>
        </w:tc>
        <w:tc>
          <w:tcPr>
            <w:tcW w:type="dxa" w:w="1264"/>
          </w:tcPr>
          <w:p/>
        </w:tc>
      </w:tr>
      <w:tr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SAP FICO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SAP MM/SD/PP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CRM/PLM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OA/BPM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低代码平台</w:t>
            </w:r>
          </w:p>
        </w:tc>
        <w:tc>
          <w:tcPr>
            <w:tcW w:type="dxa" w:w="1264"/>
          </w:tcPr>
          <w:p/>
        </w:tc>
        <w:tc>
          <w:tcPr>
            <w:tcW w:type="dxa" w:w="1264"/>
          </w:tcPr>
          <w:p/>
        </w:tc>
      </w:tr>
      <w:tr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MES工程师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CIM/设备集成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SCADA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品质追溯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自动化</w:t>
            </w:r>
          </w:p>
        </w:tc>
        <w:tc>
          <w:tcPr>
            <w:tcW w:type="dxa" w:w="1264"/>
          </w:tcPr>
          <w:p/>
        </w:tc>
        <w:tc>
          <w:tcPr>
            <w:tcW w:type="dxa" w:w="1264"/>
          </w:tcPr>
          <w:p/>
        </w:tc>
      </w:tr>
      <w:tr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等保合规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安全审计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终端/EDR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IAM/SSO</w:t>
            </w:r>
          </w:p>
        </w:tc>
        <w:tc>
          <w:tcPr>
            <w:tcW w:type="dxa" w:w="1264"/>
            <w:shd w:fill="F2F2F2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6"/>
              </w:rPr>
              <w:t>安全运营</w:t>
            </w:r>
          </w:p>
        </w:tc>
        <w:tc>
          <w:tcPr>
            <w:tcW w:type="dxa" w:w="1264"/>
          </w:tcPr>
          <w:p/>
        </w:tc>
        <w:tc>
          <w:tcPr>
            <w:tcW w:type="dxa" w:w="1264"/>
          </w:tcPr>
          <w:p/>
        </w:tc>
      </w:tr>
      <w:tr>
        <w:tc>
          <w:tcPr>
            <w:tcW w:type="dxa" w:w="8848"/>
            <w:gridSpan w:val="7"/>
            <w:shd w:fill="F2F2F2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6"/>
              </w:rPr>
              <w:t>注：IT团队编制约50-80人，面向杭州总部、成都基地、厦门基地提供IT服务支撑。</w:t>
            </w:r>
          </w:p>
        </w:tc>
      </w:tr>
    </w:tbl>
    <w:p>
      <w:pPr>
        <w:spacing w:before="40" w:after="160"/>
        <w:ind w:firstLine="0"/>
        <w:jc w:val="center"/>
      </w:pPr>
      <w:r>
        <w:rPr>
          <w:rFonts w:ascii="仿宋" w:hAnsi="仿宋" w:eastAsia="仿宋"/>
          <w:sz w:val="20"/>
        </w:rPr>
        <w:t>图二  科百特信息技术部（IT）组织架构示意图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（二）各组职责说明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1. 基础架构与运维组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负责公司IT基础设施的建设与运维，包括服务器、存储、网络设备的规划与管理；K8s容器云平台（含DevOps流水线）的搭建与运维；数据库（Oracle、MySQL等）管理与性能优化；IT服务台（Helpdesk）运营，保障集团及三地工厂的IT系统稳定运行。目前容器云平台或存在升级需求，是青云KubeSphere的主要切入点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2. 应用系统与ERP组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负责企业核心业务系统的建设与运维，包括SAP ERP（FICO/MM/SD/PP模块）的日常运维与优化；CRM客户关系管理系统（与瑞泰信息合作的CRM项目2025年启动）；OA/BPM流程管理系统；PLM产品全生命周期管理系统。应用系统间的集成与数据打通是该组当前的重点工作方向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3. 智能制造（MES/CIM）组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面向成都、杭州等地制造基地，负责MES制造执行系统的建设与运维；CIM设备自动化系统、SCADA数据采集与监控系统的管理；产品品质追溯系统、SPC统计分析等。该组是科百特作为制造企业的核心IT支撑力量，熟悉过滤膜生产的工艺流程与自动化需求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4. 信息安全与合规组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负责公司信息安全管理体系的建设与运维，包括等保合规推进（关键信息系统需达到等保二级或三级）；安全审计与日志分析；终端安全（EDR/防病毒）、IAM统一身份认证、数据分级分类；网络安全（WAF、防火墙、IPS）的日常管理，保障全球业务网络的安全合规运营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5. 大数据与AI平台组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负责公司数据平台与AI应用的建设，包括数据仓库/数据中台的规划与实施；BI经营分析看板（面向管理层决策）；AI前沿应用研究，如AI辅助膜材料研发、智能质检、良率预测等。该组代表科百特在数字化创新方面的最新布局，也是青云AI智算平台的核心对接团队。</w:t>
      </w:r>
    </w:p>
    <w:p>
      <w:pPr>
        <w:spacing w:before="120" w:after="60"/>
        <w:ind w:firstLine="0"/>
      </w:pPr>
      <w:r>
        <w:rPr>
          <w:rFonts w:ascii="黑体" w:hAnsi="黑体" w:eastAsia="黑体"/>
          <w:b/>
          <w:sz w:val="32"/>
        </w:rPr>
        <w:t>四、IT架构现状与规划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科百特作为年营收约50亿元、员工8100人的全球化制造企业，IT系统支撑着公司从研发到制造到销售的完整业务链条。当前IT架构面临以下挑战：一是全球多地（杭州、成都、厦门及海外子公司）IT基础设施分散管理，缺乏统一管控平台。二是现有K8s集群管理方式较为原始，缺少可视化运维与自动化能力。三是AI与大数据应用需求快速增长（AI辅助研发、智能质检等），现有算力平台难以满足。四是随着海外业务扩张，信息安全合规压力持续增大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4.2）和青云AI智算平台，为科百特规划六层IT架构体系，以青云统一底座贯通各层级、赋能全业务。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84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32"/>
              </w:rPr>
              <w:t>六</w:t>
            </w:r>
          </w:p>
        </w:tc>
        <w:tc>
          <w:tcPr>
            <w:tcW w:type="dxa" w:w="3969"/>
            <w:shd w:fill="#FCE4EC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数据安全与合规层</w:t>
            </w:r>
          </w:p>
        </w:tc>
        <w:tc>
          <w:tcPr>
            <w:tcW w:type="dxa" w:w="3118"/>
            <w:shd w:fill="FFFFFF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数据分级分类/访问控制审计</w:t>
              <w:br/>
              <w:t>网络安全防护（WAF/防火墙/IPS）</w:t>
              <w:br/>
              <w:t>数据备份容灾/等保合规审计</w:t>
            </w:r>
          </w:p>
        </w:tc>
      </w:tr>
      <w:tr>
        <w:tc>
          <w:tcPr>
            <w:tcW w:type="dxa" w:w="1984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32"/>
              </w:rPr>
              <w:t>五</w:t>
            </w:r>
          </w:p>
        </w:tc>
        <w:tc>
          <w:tcPr>
            <w:tcW w:type="dxa" w:w="3969"/>
            <w:shd w:fill="#E8F5E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协同办公与门户层</w:t>
            </w:r>
          </w:p>
        </w:tc>
        <w:tc>
          <w:tcPr>
            <w:tcW w:type="dxa" w:w="3118"/>
            <w:shd w:fill="FFFFFF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OA审批流程/企业信息门户</w:t>
              <w:br/>
              <w:t>邮件与即时通讯/视频会议</w:t>
              <w:br/>
              <w:t>HR行政管理系统</w:t>
            </w:r>
          </w:p>
        </w:tc>
      </w:tr>
      <w:tr>
        <w:tc>
          <w:tcPr>
            <w:tcW w:type="dxa" w:w="1984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32"/>
              </w:rPr>
              <w:t>四</w:t>
            </w:r>
          </w:p>
        </w:tc>
        <w:tc>
          <w:tcPr>
            <w:tcW w:type="dxa" w:w="3969"/>
            <w:shd w:fill="#FFF3E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业务运营与管理层</w:t>
            </w:r>
          </w:p>
        </w:tc>
        <w:tc>
          <w:tcPr>
            <w:tcW w:type="dxa" w:w="3118"/>
            <w:shd w:fill="FFFFFF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SAP ERP（财务/供应链/采购）</w:t>
              <w:br/>
              <w:t>CRM客户管理/瑞泰CRM项目</w:t>
              <w:br/>
              <w:t>PLM/SCM/BI经营分析</w:t>
            </w:r>
          </w:p>
        </w:tc>
      </w:tr>
      <w:tr>
        <w:tc>
          <w:tcPr>
            <w:tcW w:type="dxa" w:w="1984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32"/>
              </w:rPr>
              <w:t>三</w:t>
            </w:r>
          </w:p>
        </w:tc>
        <w:tc>
          <w:tcPr>
            <w:tcW w:type="dxa" w:w="3969"/>
            <w:shd w:fill="#E3F2FD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生产执行与研发设计层</w:t>
              <w:br/>
              <w:t>（制造企业核心）</w:t>
            </w:r>
          </w:p>
        </w:tc>
        <w:tc>
          <w:tcPr>
            <w:tcW w:type="dxa" w:w="3118"/>
            <w:shd w:fill="FFFFFF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MES制造执行/CIM设备自动化</w:t>
              <w:br/>
              <w:t>SCADA/品质追溯/SPC</w:t>
              <w:br/>
              <w:t>膜材料研发数据管理</w:t>
            </w:r>
          </w:p>
        </w:tc>
      </w:tr>
      <w:tr>
        <w:tc>
          <w:tcPr>
            <w:tcW w:type="dxa" w:w="1984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32"/>
              </w:rPr>
              <w:t>二</w:t>
            </w:r>
          </w:p>
        </w:tc>
        <w:tc>
          <w:tcPr>
            <w:tcW w:type="dxa" w:w="3969"/>
            <w:shd w:fill="#F3E5F5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基础设施与云平台层</w:t>
              <w:br/>
              <w:t>（青云KubeSphere+AI智算平台）</w:t>
            </w:r>
          </w:p>
        </w:tc>
        <w:tc>
          <w:tcPr>
            <w:tcW w:type="dxa" w:w="3118"/>
            <w:shd w:fill="FFFFFF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多集群统一管理/全栈可观测性</w:t>
              <w:br/>
              <w:t>GPU调度/AI训练推理</w:t>
              <w:br/>
              <w:t>DevOps自动化/信创适配</w:t>
            </w:r>
          </w:p>
        </w:tc>
      </w:tr>
      <w:tr>
        <w:tc>
          <w:tcPr>
            <w:tcW w:type="dxa" w:w="1984"/>
            <w:shd w:fill="1F4E79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32"/>
              </w:rPr>
              <w:t>一</w:t>
            </w:r>
          </w:p>
        </w:tc>
        <w:tc>
          <w:tcPr>
            <w:tcW w:type="dxa" w:w="3969"/>
            <w:shd w:fill="#E0E0E0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0"/>
              </w:rPr>
              <w:t>硬件与网络层</w:t>
            </w:r>
          </w:p>
        </w:tc>
        <w:tc>
          <w:tcPr>
            <w:tcW w:type="dxa" w:w="3118"/>
            <w:shd w:fill="FFFFFF"/>
          </w:tcPr>
          <w:p>
            <w:pPr>
              <w:spacing w:before="40" w:after="40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x86/ARM服务器/GPU算力集群</w:t>
              <w:br/>
              <w:t>存储设备（全闪/对象/备份）</w:t>
              <w:br/>
              <w:t>网络设备/三地数据中心</w:t>
            </w:r>
          </w:p>
        </w:tc>
      </w:tr>
      <w:tr>
        <w:tc>
          <w:tcPr>
            <w:tcW w:type="dxa" w:w="9071"/>
            <w:gridSpan w:val="3"/>
            <w:shd w:fill="2E75B6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▲  统一底座：青云KubeSphere企业版 + 青云AI智算平台 贯穿全层级  ▲</w:t>
            </w:r>
          </w:p>
        </w:tc>
      </w:tr>
      <w:tr>
        <w:tc>
          <w:tcPr>
            <w:tcW w:type="dxa" w:w="9071"/>
            <w:gridSpan w:val="3"/>
          </w:tcPr>
          <w:p>
            <w:pPr>
              <w:spacing w:before="40" w:after="40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图三  科百特IT架构分层示意图（青云KubeSphere+AI智算平台统一底座）</w:t>
            </w:r>
          </w:p>
        </w:tc>
      </w:tr>
    </w:tbl>
    <w:p>
      <w:pPr>
        <w:spacing w:before="120" w:after="60"/>
        <w:ind w:firstLine="0"/>
      </w:pPr>
      <w:r>
        <w:rPr>
          <w:rFonts w:ascii="黑体" w:hAnsi="黑体" w:eastAsia="黑体"/>
          <w:b/>
          <w:sz w:val="32"/>
        </w:rPr>
        <w:t>五、青云KubeSphere+AI智算平台方案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LuBan可扩展开放架构，在Kubernetes之上深度融合多云管理、微服务治理、应用可观测等核心能力。针对科百特的实际需求，核心匹配能力如下。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一是多集群统一管理。实现杭州总部、成都基地、厦门基地及海外子公司集群的统一纳管与策略统一下发。二是全栈可观测性。提供多维度监控告警、日志审计、链路追踪，保障生产系统SLA。三是GPU调度管理。支持GPU资源的细粒度调度与监控，满足AI研发、智能质检等算力需求。四是易捷版DevOps。内置CI/CD流水线，加速应用交付效率。五是多租户与权限管理。按研发/制造/运营等业务线进行资源隔离与配额管理。六是信创适配。全面支持鲲鹏、飞腾等国产CPU及麒麟、统信等国产操作系统。</w:t>
      </w:r>
    </w:p>
    <w:p>
      <w:pPr>
        <w:spacing w:before="80" w:after="4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科百特在膜材料AI辅助研发、智能质检、良率预测、供应链优化等场景的AI算力需求。平台支持GPU、NPU、CPU混合调度，提供训练任务管理与资源配额管控，内置算法开发环境与模型管理，并与KubeSphere容器平台深度集成。</w:t>
      </w:r>
    </w:p>
    <w:p>
      <w:pPr>
        <w:spacing w:before="120" w:after="60"/>
        <w:ind w:firstLine="0"/>
      </w:pPr>
      <w:r>
        <w:rPr>
          <w:rFonts w:ascii="黑体" w:hAnsi="黑体" w:eastAsia="黑体"/>
          <w:b/>
          <w:sz w:val="32"/>
        </w:rPr>
        <w:t>六、青云方案对科百特的价值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一是实现全球IT基础设施统一管理，降低运维复杂度与人力成本。二是构建企业级AI算力底座，加速膜材料研发与智能制造进程。三是提升生产系统可用性与可观测性，保障制造业务连续性。四是满足信创国产化合规要求，平滑推进自主可控进程。五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