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rFonts w:ascii="黑体" w:hAnsi="黑体" w:eastAsia="黑体"/>
          <w:b/>
          <w:sz w:val="44"/>
        </w:rPr>
        <w:t>科百特组织架构与IT架构方案</w:t>
      </w:r>
    </w:p>
    <w:p>
      <w:pPr>
        <w:spacing w:after="120"/>
        <w:ind w:firstLine="0"/>
        <w:jc w:val="center"/>
      </w:pPr>
      <w:r>
        <w:rPr>
          <w:rFonts w:ascii="仿宋" w:hAnsi="仿宋" w:eastAsia="仿宋"/>
          <w:sz w:val="32"/>
        </w:rPr>
        <w:t>——基于青云KubeSphere企业版及AI智算平台的IT架构规划</w:t>
      </w:r>
    </w:p>
    <w:p>
      <w:pPr>
        <w:spacing w:before="480"/>
        <w:ind w:firstLine="0"/>
        <w:jc w:val="right"/>
      </w:pPr>
      <w:r>
        <w:rPr>
          <w:rFonts w:ascii="仿宋" w:hAnsi="仿宋" w:eastAsia="仿宋"/>
          <w:sz w:val="24"/>
        </w:rPr>
        <w:t>文档版本：V1.0</w:t>
        <w:br/>
        <w:t>编制日期：2026年6月12日</w:t>
        <w:br/>
        <w:t>编制单位：青云科技销售部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一、公司概况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杭州科百特过滤器材有限公司（Cobetter）成立于2003年，总部位于浙江省杭州市萧山区，是一家全球领先的纳米级过滤分离膜研发制造企业。公司专注于PES、PVDF、N66、PTFE、PP等微孔膜材料的开发，建立了从膜材料研发到过滤产品组件、从过滤系统设计到过滤验证测试分析的完整过滤分离产业链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截至2026年，科百特拥有员工8000余人，其中专业技术工程师超过3400人，申请自主知识产权1000余项。2024年集团营收超40亿元，纳税4.25亿元，研发投入4.75亿元（占营收比重超8.5%）。2025年营收预计突破50亿元，持续保持25%以上的增长。2021年被评为国家制造业单项冠军示范企业。2025年2月，创始人张应民在北京出席民营企业座谈会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二、公司组织架构</w:t>
      </w:r>
    </w:p>
    <w:p>
      <w:pPr>
        <w:spacing w:before="40" w:after="240"/>
        <w:ind w:firstLine="0"/>
        <w:jc w:val="center"/>
      </w:pPr>
      <w:r>
        <w:rPr>
          <w:rFonts w:ascii="仿宋" w:hAnsi="仿宋" w:eastAsia="仿宋"/>
          <w:sz w:val="20"/>
        </w:rPr>
        <w:t>图一  科百特组织架构示意图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公司创始人、董事长张应民为科百特的实际控制人与战略制定者。公司采用扁平化、矩阵式管理架构，下设研发中心（膜技术研究院）、制造中心（含河上、绍兴等生产基地）、市场销售中心、信息技术部、质量验证中心（CNAS认证）等核心部门。信息技术部为公司数字化与智能制造转型的引领部门，负责ERP/SAP、MES、QMS、LIMS等核心系统的建设与运维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三、IT架构现状与规划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科百特作为全球过滤行业的领军企业，在信息化建设方面已构建了覆盖ERP、MES、QMS、LIMS、CRM等核心系统的IT体系。然而，随着企业规模的快速发展（五年年均复合增长率48%）和全球化布局的深入，现有IT架构面临以下挑战：一是多工厂（萧山、绍兴、海外）间IT系统独立部署，缺乏统一容器云底座；二是产品研发数据快速增长，算力资源瓶颈凸显；三是全球业务需要统一的数字化平台支撑；四是AI技术应用于膜材料研发与智能制造的需求日益迫切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（一）IT架构分层规划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基于青云KubeSphere企业版（KSE 4.2）和青云AI智算平台，为科百特规划六层IT架构体系，以青云统一底座贯通各层级、赋能全业务。</w:t>
      </w:r>
    </w:p>
    <w:p>
      <w:pPr>
        <w:spacing w:before="40" w:after="240"/>
        <w:ind w:firstLine="0"/>
        <w:jc w:val="center"/>
      </w:pPr>
      <w:r>
        <w:rPr>
          <w:rFonts w:ascii="仿宋" w:hAnsi="仿宋" w:eastAsia="仿宋"/>
          <w:sz w:val="20"/>
        </w:rPr>
        <w:t>图二  科百特IT架构分层示意图（青云KubeSphere+AI智算平台统一底座）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第一层：硬件与网络层。包括x86/信创计算服务器、GPU算力集群（用于膜材料AI仿真与研发）、全闪/混闪/对象存储设备、万兆高速网络、多数据中心（杭州总部、绍兴工厂等）。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二层：基础设施与云平台层。以青云KubeSphere企业版为容器云底座，提供多集群统一管理、全栈可观测性、DevOps自动化流水线；以青云AI智算平台提供GPU调度、AI模型训练推理、膜材料研发算力支撑；全面支持信创国产化适配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第三层：生产执行与研发设计层。包括MES制造执行系统（工单管理、追溯、SPC）、QMS质量管理系统（符合ISO9001/ISO17025）、LIMS实验室信息管理系统、CAD仿真与膜材料设计算法平台，是科百特的核心生产力层。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第四层：业务运营与管理层。包括ERP/SAP（财务/供应链/采购）、CRM客户关系管理、SRM供应商管理、PLM产品全生命周期管理、BI经营数据分析等，实现业务端到端数字化管理。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第五层：协同办公与门户层。涵盖OA审批流程、企业信息门户、邮件与即时通讯、视频会议系统、HR行政管理、知识管理平台等，支撑全球化办公协作。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第六层：数据安全与合规层。覆盖数据分级分类、访问控制与审计（IAM/SSO）、网络安全防护（WAF/防火墙/IPS）、等保合规、ISO27001信息安全体系、数据备份与容灾、业务连续性管理等。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四、青云KubeSphere+AI智算平台方案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（一）KubeSphere企业版核心能力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KubeSphere企业版（KSE 4.2）是青云科技打造的新一代云原生操作系统，基于KubeSphere LuBan可扩展开放架构。针对科百特的实际需求，核心匹配能力如下。一是多集群统一管理。实现萧山河上、绍兴滨海、杭州滨江等基地集群的统一纳管与策略统一下发。二是全栈可观测性。提供多维度监控告警、日志审计、链路追踪，保障MES/QMS等生产系统SLA。三是GPU调度管理。支持GPU资源的细粒度调度与监控，满足膜材料AI仿真与研发算力需求。四是DevOps自动化。内置CI/CD流水线，加速应用迭代与交付效率。五是多租户与权限管理。按业务线（研发/制造/验证/运营）进行资源隔离与配额管理。六是应用商店。提供Helm应用一键部署，加速中间件（Redis、RocketMQ等）交付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（二）青云AI智算平台能力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青云AI智算平台基于统一全栈架构打造AI算力底座，具备异构算力调度能力，可有效支撑科百特在膜材料AI仿真、纳米级孔径预测算法、产品质量AI检测、智能排产、供应链优化等场景的AI算力需求。平台支持GPU、NPU、CPU混合调度，提供训练任务管理与资源配额管控，内置算法开发环境与模型管理，并与KubeSphere容器平台深度集成，实现算力资源的统一运营与调度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（三）智能制造与数字化转型支撑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科百特已引入日本精益化生产（TPS）体系，数字化转型需求迫切。青云方案可在以下方面深度支撑。一是MES容器化部署。将制造执行系统容器化改造，实现多工厂统一管控与快速复制推广。二是研发仿真上云。膜材料AI仿真计算移至容器云平台，实现按需弹性算力调度。三是数据中台建设。通过云原生数据平台实现多工厂数据汇聚与BI分析。四是IoT与边缘计算。支持工厂IoT设备数据采集与边缘计算，助力智能制造升级。五是信创国产化。全面支持国产CPU、操作系统适配，助力制造企业自主可控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五、方案价值总结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通过部署青云KubeSphere企业版及AI智算平台，可为科百特带来以下核心价值。一是实现多基地IT基础设施统一管理，降低运维复杂度与人力成本。二是构建企业级AI算力底座，加速膜材料研发与AI仿真进程。三是提升MES/QMS等生产系统的可用性与可观测性。四是支撑全球化业务拓展，实现标准化的IT基础设施复制。五是满足信创国产化合规要求，平滑推进自主可控进程。六是降低整体IT建设成本，实现从资源消耗型向平台运营型转变。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  <w:p>
      <w:pPr>
        <w:jc w:val="center"/>
      </w:pPr>
      <w:r>
        <w:pict>
          <v:group style="width:540pt;height:400pt" coordsize="540,400" coordorigin="0,0">
            <v:rect style="position:absolute;left:220pt;top:5pt;width:100pt;height:24pt" fillcolor="#1F4E79" strokecolor="#1F4E79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黑体"/>
                        <w:sz w:val="24"/>
                        <w:b/>
                        <w:color w:val="#FFFFFF"/>
                      </w:rPr>
                      <w:t xml:space="preserve">股东大会</w:t>
                    </w:r>
                  </w:p>
                </w:txbxContent>
              </v:textbox>
            </v:rect>
            <v:line from="270,29" to="270,39" strokecolor="#666666" strokeweight="1pt"/>
            <v:rect style="position:absolute;left:185pt;top:41pt;width:80pt;height:24pt" fillcolor="#1F4E79" strokecolor="#1F4E79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黑体"/>
                        <w:sz w:val="24"/>
                        <w:b/>
                        <w:color w:val="#FFFFFF"/>
                      </w:rPr>
                      <w:t xml:space="preserve">董事会</w:t>
                    </w:r>
                  </w:p>
                </w:txbxContent>
              </v:textbox>
            </v:rect>
            <v:line from="270,39" to="225,41" strokecolor="#666666" strokeweight="1pt"/>
            <v:rect style="position:absolute;left:275pt;top:41pt;width:80pt;height:24pt" fillcolor="#1F4E79" strokecolor="#1F4E79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黑体"/>
                        <w:sz w:val="24"/>
                        <w:b/>
                        <w:color w:val="#FFFFFF"/>
                      </w:rPr>
                      <w:t xml:space="preserve">监事会</w:t>
                    </w:r>
                  </w:p>
                </w:txbxContent>
              </v:textbox>
            </v:rect>
            <v:line from="270,39" to="315,41" strokecolor="#666666" strokeweight="1pt"/>
            <v:rect style="position:absolute;left:220pt;top:77pt;width:100pt;height:24pt" fillcolor="#4472C4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黑体"/>
                        <w:sz w:val="24"/>
                        <w:b/>
                        <w:color w:val="#FFFFFF"/>
                      </w:rPr>
                      <w:t xml:space="preserve">总经理</w:t>
                    </w:r>
                  </w:p>
                </w:txbxContent>
              </v:textbox>
            </v:rect>
            <v:line from="225,65" to="270,77" strokecolor="#666666" strokeweight="1pt"/>
            <v:rect style="position:absolute;left:41pt;top:113pt;width:85pt;height:36pt" fillcolor="#D6E4F0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研发中心
（膜技术）</w:t>
                    </w:r>
                  </w:p>
                </w:txbxContent>
              </v:textbox>
            </v:rect>
            <v:line from="270,101" to="83,113" strokecolor="#666666" strokeweight="1pt"/>
            <v:rect style="position:absolute;left:134pt;top:113pt;width:85pt;height:36pt" fillcolor="#D6E4F0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制造中心
（生产运营）</w:t>
                    </w:r>
                  </w:p>
                </w:txbxContent>
              </v:textbox>
            </v:rect>
            <v:line from="270,101" to="176,113" strokecolor="#666666" strokeweight="1pt"/>
            <v:rect style="position:absolute;left:227pt;top:113pt;width:85pt;height:36pt" fillcolor="#D6E4F0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市场销售
中心</w:t>
                    </w:r>
                  </w:p>
                </w:txbxContent>
              </v:textbox>
            </v:rect>
            <v:line from="270,101" to="269,113" strokecolor="#666666" strokeweight="1pt"/>
            <v:rect style="position:absolute;left:320pt;top:113pt;width:85pt;height:36pt" fillcolor="#D6E4F0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信息技术部
（IT/数字化）</w:t>
                    </w:r>
                  </w:p>
                </w:txbxContent>
              </v:textbox>
            </v:rect>
            <v:line from="270,101" to="362,113" strokecolor="#666666" strokeweight="1pt"/>
            <v:rect style="position:absolute;left:413pt;top:113pt;width:85pt;height:36pt" fillcolor="#D6E4F0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质量验证
中心</w:t>
                    </w:r>
                  </w:p>
                </w:txbxContent>
              </v:textbox>
            </v:rect>
            <v:line from="270,101" to="455,113" strokecolor="#666666" strokeweight="1pt"/>
            <v:rect style="position:absolute;left:38pt;top:161pt;width:88pt;height:32pt" fillcolor="#E2EFDA" strokecolor="#548235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萧山河上
工厂（C系列）</w:t>
                    </w:r>
                  </w:p>
                </w:txbxContent>
              </v:textbox>
            </v:rect>
            <v:line from="176,149" to="82,161" strokecolor="#666666" strokeweight="1pt"/>
            <v:rect style="position:absolute;left:132pt;top:161pt;width:88pt;height:32pt" fillcolor="#E2EFDA" strokecolor="#548235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杭州滨江
研发验证中心</w:t>
                    </w:r>
                  </w:p>
                </w:txbxContent>
              </v:textbox>
            </v:rect>
            <v:line from="176,149" to="176,161" strokecolor="#666666" strokeweight="1pt"/>
            <v:rect style="position:absolute;left:226pt;top:161pt;width:88pt;height:32pt" fillcolor="#E2EFDA" strokecolor="#548235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绍兴滨海
新工厂（C9）</w:t>
                    </w:r>
                  </w:p>
                </w:txbxContent>
              </v:textbox>
            </v:rect>
            <v:line from="176,149" to="270,161" strokecolor="#666666" strokeweight="1pt"/>
            <v:rect style="position:absolute;left:320pt;top:161pt;width:88pt;height:32pt" fillcolor="#E2EFDA" strokecolor="#548235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上海子公司</w:t>
                    </w:r>
                  </w:p>
                </w:txbxContent>
              </v:textbox>
            </v:rect>
            <v:line from="176,149" to="364,161" strokecolor="#666666" strokeweight="1pt"/>
            <v:rect style="position:absolute;left:414pt;top:161pt;width:88pt;height:32pt" fillcolor="#E2EFDA" strokecolor="#548235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海外子公司
（日本/韩国等）</w:t>
                    </w:r>
                  </w:p>
                </w:txbxContent>
              </v:textbox>
            </v:rect>
            <v:line from="176,149" to="458,161" strokecolor="#666666" strokeweight="1pt"/>
            <v:rect style="position:absolute;left:410pt;top:5pt;width:125pt;height:18pt" fillcolor="#E2EFDA" strokecolor="#548235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制造/研发/海外基地</w:t>
                    </w:r>
                  </w:p>
                </w:txbxContent>
              </v:textbox>
            </v:rect>
          </v:group>
        </w:pict>
      </w:r>
    </w:p>
    <w:p>
      <w:pPr>
        <w:jc w:val="center"/>
      </w:pPr>
      <w:r>
        <w:pict>
          <v:group style="width:540pt;height:400pt" coordsize="540,400" coordorigin="0,0">
            <v:rect style="position:absolute;left:10pt;top:43pt;width:140pt;height:50pt" fillcolor="#FCE4EC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六、数据安全与合规层</w:t>
                    </w:r>
                  </w:p>
                </w:txbxContent>
              </v:textbox>
            </v:rect>
            <v:rect style="position:absolute;left:154pt;top:43pt;width:350pt;height:50pt" fillcolor="#FFFFFF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数据分级分类/访问控制|网络安全防护/等保2.0|ISO27001合规|灾备切换演练</w:t>
                    </w:r>
                  </w:p>
                </w:txbxContent>
              </v:textbox>
            </v:rect>
            <v:rect style="position:absolute;left:10pt;top:97pt;width:140pt;height:50pt" fillcolor="#E8F5E9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五、协同办公与门户层</w:t>
                    </w:r>
                  </w:p>
                </w:txbxContent>
              </v:textbox>
            </v:rect>
            <v:rect style="position:absolute;left:154pt;top:97pt;width:350pt;height:50pt" fillcolor="#FFFFFF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OA审批流程/企业门户|邮件通讯/视频会议|HR行政系统|知识管理平台</w:t>
                    </w:r>
                  </w:p>
                </w:txbxContent>
              </v:textbox>
            </v:rect>
            <v:rect style="position:absolute;left:10pt;top:151pt;width:140pt;height:50pt" fillcolor="#FFF3E0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四、业务运营与管理层</w:t>
                    </w:r>
                  </w:p>
                </w:txbxContent>
              </v:textbox>
            </v:rect>
            <v:rect style="position:absolute;left:154pt;top:151pt;width:350pt;height:50pt" fillcolor="#FFFFFF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ERP/SAP（财务供应链）|CRM客户管理|SRM供应商管理|BI经营数据分析|PLM研发管理</w:t>
                    </w:r>
                  </w:p>
                </w:txbxContent>
              </v:textbox>
            </v:rect>
            <v:rect style="position:absolute;left:10pt;top:205pt;width:140pt;height:50pt" fillcolor="#E3F2FD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三、生产执行与研发设计层</w:t>
                    </w:r>
                  </w:p>
                </w:txbxContent>
              </v:textbox>
            </v:rect>
            <v:rect style="position:absolute;left:154pt;top:205pt;width:350pt;height:50pt" fillcolor="#FFFFFF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MES制造执行（工单/追溯/SPC）|QMS质量管理系统|LIMS实验/验证管理|CAD仿真/膜设计算法</w:t>
                    </w:r>
                  </w:p>
                </w:txbxContent>
              </v:textbox>
            </v:rect>
            <v:rect style="position:absolute;left:10pt;top:259pt;width:140pt;height:50pt" fillcolor="#F3E5F5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二、基础设施与云平台层
（青云KubeSphere+AI智算平台）</w:t>
                    </w:r>
                  </w:p>
                </w:txbxContent>
              </v:textbox>
            </v:rect>
            <v:rect style="position:absolute;left:154pt;top:259pt;width:350pt;height:50pt" fillcolor="#FFFFFF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多集群统一管理|GPU/AI训练推理调度|容器化微服务|DevOps自动化|信创适配</w:t>
                    </w:r>
                  </w:p>
                </w:txbxContent>
              </v:textbox>
            </v:rect>
            <v:rect style="position:absolute;left:10pt;top:313pt;width:140pt;height:50pt" fillcolor="#E0E0E0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一、硬件与网络层</w:t>
                    </w:r>
                  </w:p>
                </w:txbxContent>
              </v:textbox>
            </v:rect>
            <v:rect style="position:absolute;left:154pt;top:313pt;width:350pt;height:50pt" fillcolor="#FFFFFF" strokecolor="#4472C4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color w:val="#000000"/>
                      </w:rPr>
                      <w:t xml:space="preserve">x86/信创服务器|GPU算力集群|存储设备（全闪/对象）|万兆网络|多数据中心（杭州/绍兴）</w:t>
                    </w:r>
                  </w:p>
                </w:txbxContent>
              </v:textbox>
            </v:rect>
            <v:rect style="position:absolute;left:490pt;top:180pt;width:40pt;height:50pt" fillcolor="#FFFFFF" strokecolor="#FFFFFF" strokeweight="1pt">
              <v:textbox style="mso-fit-shape-to-text:t">
                <w:txbxContent>
                  <w:p>
                    <w:pPr>
                      <w:jc w:val="center"/>
                    </w:pPr>
                    <w:r>
                      <w:rPr>
                        <w:rFonts w:eastAsia="仿_Song"/>
                        <w:sz w:val="20"/>
                        <w:b/>
                        <w:color w:val="#4472C4"/>
                      </w:rPr>
                      <w:t xml:space="preserve">统一
底座</w:t>
                    </w:r>
                  </w:p>
                </w:txbxContent>
              </v:textbox>
            </v:rect>
          </v:group>
        </w:pic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560" w:lineRule="exact"/>
      <w:ind w:firstLine="640"/>
    </w:pPr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