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Heading1"/>
        <w:jc w:val="center"/>
      </w:pPr>
      <w:r>
        <w:rPr>
          <w:rFonts w:ascii="黑体" w:hAnsi="黑体" w:eastAsia="黑体"/>
          <w:b/>
          <w:sz w:val="52"/>
        </w:rPr>
        <w:t>华孚AI算力运营合作方案</w:t>
      </w:r>
    </w:p>
    <w:p>
      <w:pPr>
        <w:jc w:val="center"/>
      </w:pPr>
      <w:r>
        <w:rPr>
          <w:rFonts w:ascii="仿宋" w:hAnsi="仿宋" w:eastAsia="仿宋"/>
          <w:sz w:val="32"/>
        </w:rPr>
        <w:t>——MaaS平台定价 &amp; GPU算力租赁运营方案</w:t>
      </w:r>
    </w:p>
    <w:p/>
    <w:p/>
    <w:p/>
    <w:p/>
    <w:p>
      <w:pPr>
        <w:jc w:val="center"/>
      </w:pPr>
      <w:r>
        <w:rPr>
          <w:rFonts w:ascii="仿宋" w:hAnsi="仿宋" w:eastAsia="仿宋"/>
        </w:rPr>
        <w:t>汇报人：青云科技</w:t>
      </w:r>
    </w:p>
    <w:p>
      <w:pPr>
        <w:jc w:val="center"/>
      </w:pPr>
      <w:r>
        <w:rPr>
          <w:rFonts w:ascii="仿宋" w:hAnsi="仿宋" w:eastAsia="仿宋"/>
        </w:rPr>
        <w:t>2026年6月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</w:rPr>
        <w:t>目  录</w:t>
      </w:r>
    </w:p>
    <w:p/>
    <w:p>
      <w:pPr>
        <w:ind w:firstLine="0"/>
      </w:pPr>
      <w:r>
        <w:rPr>
          <w:rFonts w:ascii="仿宋" w:hAnsi="仿宋" w:eastAsia="仿宋"/>
          <w:b/>
          <w:sz w:val="28"/>
        </w:rPr>
        <w:t>一、行业背景与市场对标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1.1 MaaS（模型即服务）市场格局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1.2 GPU算力租赁市场格局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1.3 华孚的机遇与定位</w:t>
      </w:r>
    </w:p>
    <w:p>
      <w:pPr>
        <w:ind w:firstLine="0"/>
      </w:pPr>
      <w:r>
        <w:rPr>
          <w:rFonts w:ascii="仿宋" w:hAnsi="仿宋" w:eastAsia="仿宋"/>
          <w:b/>
          <w:sz w:val="28"/>
        </w:rPr>
        <w:t>二、Token运营计费方案（MaaS平台）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2.1 定价体系设计原则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2.2 三档模型定价方案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2.3 套餐订阅方案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2.4 盈利能力测算</w:t>
      </w:r>
    </w:p>
    <w:p>
      <w:pPr>
        <w:ind w:firstLine="0"/>
      </w:pPr>
      <w:r>
        <w:rPr>
          <w:rFonts w:ascii="仿宋" w:hAnsi="仿宋" w:eastAsia="仿宋"/>
          <w:b/>
          <w:sz w:val="28"/>
        </w:rPr>
        <w:t>三、卡时租赁运营方案（GPU算力）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3.1 GPU算力定价体系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3.2 目标客户与场景匹配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3.3 盈利模型</w:t>
      </w:r>
    </w:p>
    <w:p>
      <w:pPr>
        <w:ind w:firstLine="0"/>
      </w:pPr>
      <w:r>
        <w:rPr>
          <w:rFonts w:ascii="仿宋" w:hAnsi="仿宋" w:eastAsia="仿宋"/>
          <w:b/>
          <w:sz w:val="28"/>
        </w:rPr>
        <w:t>四、组合打包方案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4.1 "算力+模型"联动定价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4.2 行业解决方案打包</w:t>
      </w:r>
    </w:p>
    <w:p>
      <w:pPr>
        <w:ind w:firstLine="0"/>
      </w:pPr>
      <w:r>
        <w:rPr>
          <w:rFonts w:ascii="仿宋" w:hAnsi="仿宋" w:eastAsia="仿宋"/>
          <w:b/>
          <w:sz w:val="28"/>
        </w:rPr>
        <w:t>五、合作模式建议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5.1 青云与华孚的合作切入点</w:t>
      </w:r>
    </w:p>
    <w:p>
      <w:pPr>
        <w:ind w:firstLine="0"/>
      </w:pPr>
      <w:r>
        <w:rPr>
          <w:rFonts w:ascii="仿宋" w:hAnsi="仿宋" w:eastAsia="仿宋"/>
          <w:sz w:val="28"/>
        </w:rPr>
        <w:t xml:space="preserve">    5.2 分阶段实施路线图</w:t>
      </w:r>
    </w:p>
    <w:p>
      <w:pPr>
        <w:ind w:firstLine="0"/>
      </w:pPr>
      <w:r>
        <w:rPr>
          <w:rFonts w:ascii="仿宋" w:hAnsi="仿宋" w:eastAsia="仿宋"/>
          <w:b/>
          <w:sz w:val="28"/>
        </w:rPr>
        <w:t>六、下一步行动</w:t>
      </w:r>
    </w:p>
    <w:p>
      <w:r>
        <w:br w:type="page"/>
      </w:r>
    </w:p>
    <w:p>
      <w:pPr>
        <w:pStyle w:val="Heading1"/>
      </w:pPr>
      <w:r>
        <w:t>一、行业背景与市场对标</w:t>
      </w:r>
    </w:p>
    <w:p>
      <w:pPr>
        <w:pStyle w:val="Heading2"/>
      </w:pPr>
      <w:r>
        <w:t>1.1 MaaS（模型即服务）市场格局</w:t>
      </w:r>
    </w:p>
    <w:p>
      <w:pPr/>
      <w:r>
        <w:rPr>
          <w:rFonts w:ascii="仿宋" w:hAnsi="仿宋" w:eastAsia="仿宋"/>
        </w:rPr>
        <w:t>2026年，中国AI大模型市场进入规模化落地阶段。据行业数据，2026年一季度国内算力租赁市场规模达680亿元，同比增长62%，全年预计突破2600亿元。在MaaS领域，各主要厂商API调用量呈爆发式增长，价格竞争日趋激烈。</w:t>
      </w:r>
    </w:p>
    <w:p>
      <w:pPr/>
      <w:r>
        <w:rPr>
          <w:rFonts w:ascii="仿宋" w:hAnsi="仿宋" w:eastAsia="仿宋"/>
        </w:rPr>
        <w:t>当前国内MaaS市场主要玩家及定价特征如下：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平台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旗舰模型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旗舰输入价</w:t>
              <w:br/>
              <w:t>(元/百万Token)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旗舰输出价</w:t>
              <w:br/>
              <w:t>(元/百万Token)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性价比模型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性价比输入价</w:t>
              <w:br/>
              <w:t>(元/百万Token)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阿里云百炼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Qwen3-Max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Qwen3-Plus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0.8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火山方舟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Doubao-Seed-2.0-Pro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Doubao-Mini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0.2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DeepSeek官方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V4-Pro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12(原价)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24(原价)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V4-Flash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1.0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百度千帆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ERNIE 5.0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6.0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ERNIE 4.5 Turbo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0.8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智谱AI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GLM-5.1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5.0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GLM-4.5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3.0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月之暗面Kimi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K2.6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6.8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28.8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K2.5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4.0</w:t>
            </w:r>
          </w:p>
        </w:tc>
      </w:tr>
    </w:tbl>
    <w:p/>
    <w:p>
      <w:pPr/>
      <w:r>
        <w:rPr>
          <w:rFonts w:ascii="仿宋" w:hAnsi="仿宋" w:eastAsia="仿宋"/>
        </w:rPr>
        <w:t>市场呈现明显的"两极分化"趋势：头部旗舰模型定价差距大（输入¥3~12/百万Token），但性价比模型已杀至极低价位（¥0.2~1/百万Token）。DeepSeek V4 Flash的缓存命中价格甚至低至¥0.02/百万Token，创行业新低。</w:t>
      </w:r>
    </w:p>
    <w:p>
      <w:pPr/>
      <w:r>
        <w:rPr>
          <w:rFonts w:ascii="仿宋" w:hAnsi="仿宋" w:eastAsia="仿宋"/>
        </w:rPr>
        <w:t>关键判断：通用大模型API价格战已接近底线，差异化竞争的关键转向行业垂直模型和"算力+模型"一体化方案。</w:t>
      </w:r>
    </w:p>
    <w:p>
      <w:pPr>
        <w:pStyle w:val="Heading2"/>
      </w:pPr>
      <w:r>
        <w:t>1.2 GPU算力租赁市场格局</w:t>
      </w:r>
    </w:p>
    <w:p>
      <w:pPr/>
      <w:r>
        <w:rPr>
          <w:rFonts w:ascii="仿宋" w:hAnsi="仿宋" w:eastAsia="仿宋"/>
        </w:rPr>
        <w:t>GPU算力租赁市场同样处于高速增长期。目前国内主要平台（AutoDL、恒源云、智星云、OneThingAI）及公有云厂商（阿里云、腾讯云、华为云）形成了差异化竞争格局：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GPU型号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显存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专业租赁平台</w:t>
              <w:br/>
              <w:t>最低价(元/时)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公有云</w:t>
              <w:br/>
              <w:t>参考价(元/时)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包月最低价</w:t>
              <w:br/>
              <w:t>(元/月)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H100 NVLink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80GB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17.04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75,000(八卡)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H800 PCIE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80GB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8.88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18.75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11,520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A100 80G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80GB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6.0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34.72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4,104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A100 40G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40GB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3.42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1,592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L20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48GB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3.68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9.6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RTX 4090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24GB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1.32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1,026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昇腾910B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64GB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3.68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25,000(八卡)</w:t>
            </w:r>
          </w:p>
        </w:tc>
      </w:tr>
    </w:tbl>
    <w:p/>
    <w:p>
      <w:pPr/>
      <w:r>
        <w:rPr>
          <w:rFonts w:ascii="仿宋" w:hAnsi="仿宋" w:eastAsia="仿宋"/>
        </w:rPr>
        <w:t>核心发现：专业GPU租赁平台价格仅为公有云的1/3~1/5，但公有云在稳定性、生态、SLA方面有显著优势。对于MaaS平台运营而言，算力成本是最核心的支出项（占50~65%），选择合理的算力采购策略直接影响利润率。</w:t>
      </w:r>
    </w:p>
    <w:p>
      <w:pPr>
        <w:pStyle w:val="Heading2"/>
      </w:pPr>
      <w:r>
        <w:t>1.3 华孚的机遇与定位</w:t>
      </w:r>
    </w:p>
    <w:p>
      <w:pPr/>
      <w:r>
        <w:rPr>
          <w:rFonts w:ascii="仿宋" w:hAnsi="仿宋" w:eastAsia="仿宋"/>
        </w:rPr>
        <w:t>华孚作为行业新进入者，在MaaS和GPU算力领域面临"后发挑战"，但也具备以下差异化优势：</w:t>
      </w:r>
    </w:p>
    <w:p>
      <w:pPr/>
      <w:r>
        <w:rPr>
          <w:rFonts w:ascii="仿宋" w:hAnsi="仿宋" w:eastAsia="仿宋"/>
        </w:rPr>
        <w:t>一是可以聚焦垂直行业。通用模型价格战已是红海，但政务、金融、制造业等行业仍有显著的定制化需求，行业知识+数据安全是溢价空间所在。</w:t>
      </w:r>
    </w:p>
    <w:p>
      <w:pPr/>
      <w:r>
        <w:rPr>
          <w:rFonts w:ascii="仿宋" w:hAnsi="仿宋" w:eastAsia="仿宋"/>
        </w:rPr>
        <w:t>二是可以构建"算力+模型"一体化方案。相比单纯的API调用或算力租赁，将GPU算力与模型服务打包提供给客户，可以提升客户粘性和客单价。</w:t>
      </w:r>
    </w:p>
    <w:p>
      <w:pPr/>
      <w:r>
        <w:rPr>
          <w:rFonts w:ascii="仿宋" w:hAnsi="仿宋" w:eastAsia="仿宋"/>
        </w:rPr>
        <w:t>三是可以借助华为昇腾国产化生态。信创和国产化替代是政策刚需，华为昇腾910B生态正在快速成熟，这是一个窗口期。</w:t>
      </w:r>
    </w:p>
    <w:p>
      <w:pPr/>
      <w:r>
        <w:rPr>
          <w:rFonts w:ascii="仿宋" w:hAnsi="仿宋" w:eastAsia="仿宋"/>
        </w:rPr>
        <w:t>建议华孚定位：做"行业AI算力运营商"，走"垂直行业模型+弹性算力"的差异化路线。</w:t>
      </w:r>
    </w:p>
    <w:p>
      <w:r>
        <w:br w:type="page"/>
      </w:r>
    </w:p>
    <w:p>
      <w:pPr>
        <w:pStyle w:val="Heading1"/>
      </w:pPr>
      <w:r>
        <w:t>二、Token运营计费方案（MaaS平台）</w:t>
      </w:r>
    </w:p>
    <w:p>
      <w:pPr>
        <w:pStyle w:val="Heading2"/>
      </w:pPr>
      <w:r>
        <w:t>2.1 定价体系设计原则</w:t>
      </w:r>
    </w:p>
    <w:p>
      <w:pPr/>
      <w:r>
        <w:rPr>
          <w:rFonts w:ascii="仿宋" w:hAnsi="仿宋" w:eastAsia="仿宋"/>
        </w:rPr>
        <w:t>基于对阿里百炼、火山方舟、DeepSeek等主流平台的深度对标分析，建议华孚MaaS平台采用"三层定价+套餐订阅"的混合计费体系：</w:t>
      </w:r>
    </w:p>
    <w:p>
      <w:pPr/>
      <w:r>
        <w:rPr>
          <w:rFonts w:ascii="仿宋" w:hAnsi="仿宋" w:eastAsia="仿宋"/>
        </w:rPr>
        <w:t>第一，分层对标策略——旗舰模型对标DeepSeek V4 Pro/千问Max定价区间，但通过行业垂直优化实现溢价；标准模型对标千问Plus/豆包Lite价位，以价换量；轻量模型对标豆包Mini，打造免费引流入口。</w:t>
      </w:r>
    </w:p>
    <w:p>
      <w:pPr/>
      <w:r>
        <w:rPr>
          <w:rFonts w:ascii="仿宋" w:hAnsi="仿宋" w:eastAsia="仿宋"/>
        </w:rPr>
        <w:t>第二，套餐锁客策略——通过包月/包年套餐锁定企业客户，预付费模式改善现金流，套餐价格比按量计费优惠20~40%。</w:t>
      </w:r>
    </w:p>
    <w:p>
      <w:pPr/>
      <w:r>
        <w:rPr>
          <w:rFonts w:ascii="仿宋" w:hAnsi="仿宋" w:eastAsia="仿宋"/>
        </w:rPr>
        <w:t>第三，行业溢价策略——针对特定行业（政务/金融/制造）的精调模型，可在基础定价上加价30~50%，体现行业知识壁垒。</w:t>
      </w:r>
    </w:p>
    <w:p>
      <w:pPr>
        <w:pStyle w:val="Heading2"/>
      </w:pPr>
      <w:r>
        <w:t>2.2 三档模型定价方案</w:t>
      </w:r>
    </w:p>
    <w:p>
      <w:pPr/>
      <w:r>
        <w:rPr>
          <w:rFonts w:ascii="仿宋" w:hAnsi="仿宋" w:eastAsia="仿宋"/>
        </w:rPr>
        <w:t>建议华孚MaaS平台设置三档模型，分别对应不同客户需求和预算：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模型等级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定位场景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输入定价</w:t>
              <w:br/>
              <w:t>(元/百万Token)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输出定价</w:t>
              <w:br/>
              <w:t>(元/百万Token)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缓存命中</w:t>
              <w:br/>
              <w:t>(元/百万Token)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对标竞品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S级·旗舰推理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复杂推理/长文</w:t>
              <w:br/>
              <w:t>生成/代码/Agent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DeepSeek V4 Pro</w:t>
              <w:br/>
              <w:t>Qwen3-Max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A级·标准模型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日常对话/内容</w:t>
              <w:br/>
              <w:t>生成/客服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¥0.3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Qwen3-Plus</w:t>
              <w:br/>
              <w:t>Doubao-Seed-Lite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B级·轻量模型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简单问答/分类</w:t>
              <w:br/>
              <w:t>抽取/摘要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¥0.8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¥0.1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Doubao-Mini</w:t>
              <w:br/>
              <w:t>Qwen-Turbo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C级·免费模型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入门体验/低并发</w:t>
              <w:br/>
              <w:t>开发者测试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免费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免费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免费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ERNIE-3.5</w:t>
              <w:br/>
              <w:t>混元Lite</w:t>
            </w:r>
          </w:p>
        </w:tc>
      </w:tr>
    </w:tbl>
    <w:p/>
    <w:p>
      <w:pPr/>
      <w:r>
        <w:rPr>
          <w:rFonts w:ascii="仿宋" w:hAnsi="仿宋" w:eastAsia="仿宋"/>
        </w:rPr>
        <w:t>其中，C级免费模型提供每月100万Token免费额度，作为获客入口。企业客户注册后自动获得7天旗舰模型免费试用。</w:t>
      </w:r>
    </w:p>
    <w:p>
      <w:pPr>
        <w:pStyle w:val="Heading2"/>
      </w:pPr>
      <w:r>
        <w:t>2.3 套餐订阅方案</w:t>
      </w:r>
    </w:p>
    <w:p>
      <w:pPr/>
      <w:r>
        <w:rPr>
          <w:rFonts w:ascii="仿宋" w:hAnsi="仿宋" w:eastAsia="仿宋"/>
        </w:rPr>
        <w:t>为降低客户决策门槛、提升客户粘性，建议推出以下包月套餐：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套餐名称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月费(元)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包含Token量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超出单价折扣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适合客户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年费折扣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入门版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¥999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500万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按量价8折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初创团队/个人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赠2个月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标准版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¥3,999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3,000万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按量价7折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中小企业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赠2个月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企业版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¥9,999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按量价6折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中型企业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赠3个月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旗舰版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¥29,999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5亿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按量价5折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大型企业/集团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赠3个月</w:t>
            </w:r>
          </w:p>
        </w:tc>
      </w:tr>
    </w:tbl>
    <w:p/>
    <w:p>
      <w:pPr/>
      <w:r>
        <w:rPr>
          <w:rFonts w:ascii="仿宋" w:hAnsi="仿宋" w:eastAsia="仿宋"/>
        </w:rPr>
        <w:t>套餐的核心逻辑是：客户预付费锁定用量，平台获得确定性收入流；用量超出后享受折扣价，降低客户额外成本焦虑。</w:t>
      </w:r>
    </w:p>
    <w:p>
      <w:pPr>
        <w:pStyle w:val="Heading2"/>
      </w:pPr>
      <w:r>
        <w:t>2.4 盈利能力测算</w:t>
      </w:r>
    </w:p>
    <w:p>
      <w:pPr/>
      <w:r>
        <w:rPr>
          <w:rFonts w:ascii="仿宋" w:hAnsi="仿宋" w:eastAsia="仿宋"/>
        </w:rPr>
        <w:t>以A级标准模型为例，基于A100-80G单卡运营成本测算：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测算项目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保守估计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中性估计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乐观估计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GPU单卡月租成本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¥4,000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¥6,000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单卡日处理Token量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5,000万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1亿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2亿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单位Token推理成本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¥2.7/百万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¥2.0/百万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¥1.3/百万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A级模型输入定价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¥2.0/百万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¥2.0/百万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¥2.0/百万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A级模型输出定价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¥6.0/百万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¥6.0/百万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¥6.0/百万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综合毛利率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45~55%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55~65%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65~75%</w:t>
            </w:r>
          </w:p>
        </w:tc>
      </w:tr>
    </w:tbl>
    <w:p/>
    <w:p>
      <w:pPr/>
      <w:r>
        <w:rPr>
          <w:rFonts w:ascii="仿宋" w:hAnsi="仿宋" w:eastAsia="仿宋"/>
        </w:rPr>
        <w:t>结论：在合理规模下（&gt;10卡集群），MaaS平台毛利率可达55~65%，算力成本是核心杠杆。通过采用华为昇腾等国产算力（成本低于NVIDIA方案约20~30%），可进一步提升利润空间。</w:t>
      </w:r>
    </w:p>
    <w:p>
      <w:r>
        <w:br w:type="page"/>
      </w:r>
    </w:p>
    <w:p>
      <w:pPr>
        <w:pStyle w:val="Heading1"/>
      </w:pPr>
      <w:r>
        <w:t>三、卡时租赁运营方案（GPU算力）</w:t>
      </w:r>
    </w:p>
    <w:p>
      <w:pPr>
        <w:pStyle w:val="Heading2"/>
      </w:pPr>
      <w:r>
        <w:t>3.1 GPU算力定价体系</w:t>
      </w:r>
    </w:p>
    <w:p>
      <w:pPr/>
      <w:r>
        <w:rPr>
          <w:rFonts w:ascii="仿宋" w:hAnsi="仿宋" w:eastAsia="仿宋"/>
        </w:rPr>
        <w:t>基于当前市场行情，建议华孚建立差异化GPU算力定价体系。核心定价策略是：高性能卡（A100/H800）走"质价比"路线，定价略高于专业租赁平台但低于公有云；中低端卡（4090/L20）走"性价比"路线，对标行业最低价。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GPU型号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显存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建议时租价</w:t>
              <w:br/>
              <w:t>(元/卡时)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建议包月价</w:t>
              <w:br/>
              <w:t>(元/月)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对标市场价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定位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H800-80G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80GB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¥12~15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¥8,500~10,000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市场¥8.88~18.75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旗舰训练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A100-80G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80GB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¥5~8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¥3,500~5,000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市场¥3.45~34.72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训练/推理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A100-40G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40GB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¥3~4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¥1,500~2,500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市场¥3.42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推理主力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L20-48G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48GB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¥3~4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市场¥3.68~9.6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推理性价比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RTX 4090 24G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24GB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¥1.5~2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¥1,000~1,200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市场¥1.32~1.98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开发/AIGC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RTX 3090 24G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24GB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¥1.2~1.5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¥700~900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市场¥1.32~1.44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入门开发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昇腾910B 64G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64GB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¥3~4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¥2,000~3,000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市场¥3.68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信创/国产化</w:t>
            </w:r>
          </w:p>
        </w:tc>
      </w:tr>
    </w:tbl>
    <w:p/>
    <w:p>
      <w:pPr/>
      <w:r>
        <w:rPr>
          <w:rFonts w:ascii="仿宋" w:hAnsi="仿宋" w:eastAsia="仿宋"/>
        </w:rPr>
        <w:t>配套增值服务：提供文件存储服务（¥0.1/GB/月）、公网带宽（按量计费）、镜像市场（预装PyTorch/TensorFlow等框架），实现"算力+存储+环境"一站式交付。</w:t>
      </w:r>
    </w:p>
    <w:p>
      <w:pPr>
        <w:pStyle w:val="Heading2"/>
      </w:pPr>
      <w:r>
        <w:t>3.2 目标客户与场景匹配</w:t>
      </w:r>
    </w:p>
    <w:p>
      <w:pPr/>
      <w:r>
        <w:rPr>
          <w:rFonts w:ascii="仿宋" w:hAnsi="仿宋" w:eastAsia="仿宋"/>
        </w:rPr>
        <w:t>不同的GPU型号对应不同的目标客户和应用场景，建议华孚精准匹配：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客户类型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推荐GPU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典型场景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月预算参考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获客渠道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高校/科研机构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RTX 4090/3090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论文实验、教学、小模型训练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¥1,000~5,000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教育合作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AI初创企业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RTX 4090/L20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模型微调、AIGC应用开发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¥3,000~15,000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孵化器/投资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中小企业（AI应用）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A100 40G/L20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推理服务部署、RAG应用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¥5,000~30,000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行业渠道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大型企业（训练）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A100 80G/H800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大模型训练、微调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¥30,000~200,000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直销+渠道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政务/信创客户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昇腾910B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国产化AI平台建设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¥50,000~500,000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政府采购</w:t>
            </w:r>
          </w:p>
        </w:tc>
      </w:tr>
    </w:tbl>
    <w:p/>
    <w:p>
      <w:pPr>
        <w:pStyle w:val="Heading2"/>
      </w:pPr>
      <w:r>
        <w:t>3.3 盈利模型</w:t>
      </w:r>
    </w:p>
    <w:p>
      <w:pPr/>
      <w:r>
        <w:rPr>
          <w:rFonts w:ascii="仿宋" w:hAnsi="仿宋" w:eastAsia="仿宋"/>
        </w:rPr>
        <w:t>GPU算力租赁的盈利核心在于"批零差价"：以较低成本锁定算力资源（批量采购/长租），以零售价格拆分出售。以下以A100 80G为例测算：</w:t>
      </w:r>
    </w:p>
    <w:p>
      <w:pPr/>
      <w:r>
        <w:rPr>
          <w:rFonts w:ascii="仿宋" w:hAnsi="仿宋" w:eastAsia="仿宋"/>
        </w:rPr>
        <w:t>投入端：单卡A100 80G采购成本约¥8~10万（一次性），或月租¥4,000~6,000（租赁模式）。按3年折旧，月折旧成本约¥2,200~2,800。加上机房（¥500/月）、电力（¥800/月）、运维（¥500/月），单卡月总成本约¥4,000~4,600。</w:t>
      </w:r>
    </w:p>
    <w:p>
      <w:pPr/>
      <w:r>
        <w:rPr>
          <w:rFonts w:ascii="仿宋" w:hAnsi="仿宋" w:eastAsia="仿宋"/>
        </w:rPr>
        <w:t>收入端：建议时租¥5~8/卡时，假设平均利用率60%（每日14.4小时），月收入约¥2,160~3,456。包月¥3,500~5,000，利用率更高。</w:t>
      </w:r>
    </w:p>
    <w:p>
      <w:pPr/>
      <w:r>
        <w:rPr>
          <w:rFonts w:ascii="仿宋" w:hAnsi="仿宋" w:eastAsia="仿宋"/>
        </w:rPr>
        <w:t>结论：当GPU规模达到50卡以上，通过混合计费（部分时租+部分包月+部分预留）可将综合利用率提升至70%以上，实现25~35%的净利润率。关键影响因素包括资源利用率、电力成本和采购成本。</w:t>
      </w:r>
    </w:p>
    <w:p>
      <w:r>
        <w:br w:type="page"/>
      </w:r>
    </w:p>
    <w:p>
      <w:pPr>
        <w:pStyle w:val="Heading1"/>
      </w:pPr>
      <w:r>
        <w:t>四、组合打包方案</w:t>
      </w:r>
    </w:p>
    <w:p>
      <w:pPr>
        <w:pStyle w:val="Heading2"/>
      </w:pPr>
      <w:r>
        <w:t>4.1 "算力+模型"联动定价</w:t>
      </w:r>
    </w:p>
    <w:p>
      <w:pPr/>
      <w:r>
        <w:rPr>
          <w:rFonts w:ascii="仿宋" w:hAnsi="仿宋" w:eastAsia="仿宋"/>
        </w:rPr>
        <w:t>MaaS平台与GPU算力租赁之间存在天然协同效应：使用GPU算力的客户往往是MaaS模型的潜在客户，反之亦然。建议华孚推出以下联动方案：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套餐名称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包含内容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标准价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打包价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节省幅度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适合客户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AI开发入门包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B级模型 500万Token/月</w:t>
              <w:br/>
              <w:t>+ RTX 4090 100小时/月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¥2,000+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¥1,699/月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~15%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个人开发者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AI推理部署包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A级模型 3000万Token/月</w:t>
              <w:br/>
              <w:t>+ A100 40G 包月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¥5,500+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¥4,599/月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~16%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中小企业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AI训练加速包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S级模型 1亿Token/月</w:t>
              <w:br/>
              <w:t>+ A100 80G×4 包月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¥22,000+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¥18,999/月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~14%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中型企业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企业AI旗舰包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全模型不限量</w:t>
              <w:br/>
              <w:t>+ H800×8 月租+存储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¥80,000+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¥68,000/月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~15%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21"/>
              </w:rPr>
              <w:t>大型企业</w:t>
            </w:r>
          </w:p>
        </w:tc>
      </w:tr>
    </w:tbl>
    <w:p/>
    <w:p>
      <w:pPr/>
      <w:r>
        <w:rPr>
          <w:rFonts w:ascii="仿宋" w:hAnsi="仿宋" w:eastAsia="仿宋"/>
        </w:rPr>
        <w:t>联动定价的核心优势：一是提升客单价（从单一产品的¥3,000~5,000提升到组合的¥8,000~20,000）；二是增强客户粘性（切换成本提升）；三是降低获客成本（交叉销售）。</w:t>
      </w:r>
    </w:p>
    <w:p>
      <w:pPr>
        <w:pStyle w:val="Heading2"/>
      </w:pPr>
      <w:r>
        <w:t>4.2 行业解决方案打包</w:t>
      </w:r>
    </w:p>
    <w:p>
      <w:pPr/>
      <w:r>
        <w:rPr>
          <w:rFonts w:ascii="仿宋" w:hAnsi="仿宋" w:eastAsia="仿宋"/>
        </w:rPr>
        <w:t>建议华孚围绕三大行业推出"开箱即用"的AI解决方案包：</w:t>
      </w:r>
    </w:p>
    <w:p>
      <w:pPr/>
      <w:r>
        <w:rPr>
          <w:rFonts w:ascii="仿宋" w:hAnsi="仿宋" w:eastAsia="仿宋"/>
        </w:rPr>
        <w:t>一是智能客服行业包。包含：千亿级对话模型API + A100推理卡 + 知识库平台 + 座席辅助工具。定价：¥9,999/月起（含10万次对话/月）。主打：降低企业AI客服建设门槛。</w:t>
      </w:r>
    </w:p>
    <w:p>
      <w:pPr/>
      <w:r>
        <w:rPr>
          <w:rFonts w:ascii="仿宋" w:hAnsi="仿宋" w:eastAsia="仿宋"/>
        </w:rPr>
        <w:t>二是AI内容生成包。包含：图像/视频生成模型API + RTX 4090算力 + ComfyUI/Stable Diffusion平台。定价：¥2,999/月起（含5000张图/月）。主打：电商/营销场景。</w:t>
      </w:r>
    </w:p>
    <w:p>
      <w:pPr/>
      <w:r>
        <w:rPr>
          <w:rFonts w:ascii="仿宋" w:hAnsi="仿宋" w:eastAsia="仿宋"/>
        </w:rPr>
        <w:t>三是信创AI平台包。包含：昇腾910B算力 + 国产大模型 + 政务知识库 + 数据安全方案。定价：面议（项目制）。主打：政务/国企信创需求。</w:t>
      </w:r>
    </w:p>
    <w:p>
      <w:r>
        <w:br w:type="page"/>
      </w:r>
    </w:p>
    <w:p>
      <w:pPr>
        <w:pStyle w:val="Heading1"/>
      </w:pPr>
      <w:r>
        <w:t>五、合作模式建议</w:t>
      </w:r>
    </w:p>
    <w:p>
      <w:pPr>
        <w:pStyle w:val="Heading2"/>
      </w:pPr>
      <w:r>
        <w:t>5.1 青云与华孚的合作切入点</w:t>
      </w:r>
    </w:p>
    <w:p>
      <w:pPr/>
      <w:r>
        <w:rPr>
          <w:rFonts w:ascii="仿宋" w:hAnsi="仿宋" w:eastAsia="仿宋"/>
        </w:rPr>
        <w:t>基于青云科技在云计算/AI领域的技术积累和华孚在行业市场的资源优势，建议双方在以下三个层面展开合作：</w:t>
      </w:r>
    </w:p>
    <w:p>
      <w:pPr/>
      <w:r>
        <w:rPr>
          <w:rFonts w:ascii="仿宋" w:hAnsi="仿宋" w:eastAsia="仿宋"/>
        </w:rPr>
        <w:t>第一层：技术合作——青云提供KubeSphere容器平台和AI推理引擎，华孚提供行业场景和数据。联合打造面向特定行业的MaaS平台，由青云提供底层算力调度能力，华孚负责上层行业模型和应用。</w:t>
      </w:r>
    </w:p>
    <w:p>
      <w:pPr/>
      <w:r>
        <w:rPr>
          <w:rFonts w:ascii="仿宋" w:hAnsi="仿宋" w:eastAsia="仿宋"/>
        </w:rPr>
        <w:t>第二层：算力合作——青云利用自身云基础设施优势，以优惠价格（市场价7~8折）为华孚提供GPU算力资源；华孚将算力包装为行业解决方案对外销售，共享收益。</w:t>
      </w:r>
    </w:p>
    <w:p>
      <w:pPr/>
      <w:r>
        <w:rPr>
          <w:rFonts w:ascii="仿宋" w:hAnsi="仿宋" w:eastAsia="仿宋"/>
        </w:rPr>
        <w:t>第三层：市场合作——双方联合品牌推广，青云开放企业客户渠道，华孚开放行业客户资源。共同举办行业AI研讨会、联合发布行业白皮书，提升市场影响力。</w:t>
      </w:r>
    </w:p>
    <w:p>
      <w:pPr>
        <w:pStyle w:val="Heading2"/>
      </w:pPr>
      <w:r>
        <w:t>5.2 分阶段实施路线图</w:t>
      </w:r>
    </w:p>
    <w:p>
      <w:pPr/>
      <w:r>
        <w:rPr>
          <w:rFonts w:ascii="仿宋" w:hAnsi="仿宋" w:eastAsia="仿宋"/>
        </w:rPr>
        <w:t>建议合作分三个阶段推进：</w:t>
      </w:r>
    </w:p>
    <w:p>
      <w:pPr/>
      <w:r>
        <w:rPr>
          <w:rFonts w:ascii="仿宋" w:hAnsi="仿宋" w:eastAsia="仿宋"/>
        </w:rPr>
        <w:t>第一阶段（第1~2个月）：联合试点。选定1~2个行业客户，用青云现有算力资源+华孚行业模型，提供试点服务。目标是跑通"算力+模型"交付流程，获取客户反馈。</w:t>
      </w:r>
    </w:p>
    <w:p>
      <w:pPr/>
      <w:r>
        <w:rPr>
          <w:rFonts w:ascii="仿宋" w:hAnsi="仿宋" w:eastAsia="仿宋"/>
        </w:rPr>
        <w:t>第二阶段（第3~6个月）：平台建设。基于KubeSphere构建华孚MaaS平台，接入多种模型和GPU算力资源；推出标准定价体系和套餐方案；发展5~10个付费客户，月调用量突破5亿Token。</w:t>
      </w:r>
    </w:p>
    <w:p>
      <w:pPr/>
      <w:r>
        <w:rPr>
          <w:rFonts w:ascii="仿宋" w:hAnsi="仿宋" w:eastAsia="仿宋"/>
        </w:rPr>
        <w:t>第三阶段（第7~12个月）：规模扩张。平台接入昇腾910B国产算力，拓展政务信创市场；发展50+付费客户，月调用量突破50亿Token；实现盈亏平衡并开始盈利。</w:t>
      </w:r>
    </w:p>
    <w:p>
      <w:r>
        <w:br w:type="page"/>
      </w:r>
    </w:p>
    <w:p>
      <w:pPr>
        <w:pStyle w:val="Heading1"/>
      </w:pPr>
      <w:r>
        <w:t>六、下一步行动</w:t>
      </w:r>
    </w:p>
    <w:p>
      <w:pPr/>
      <w:r>
        <w:rPr>
          <w:rFonts w:ascii="仿宋" w:hAnsi="仿宋" w:eastAsia="仿宋"/>
        </w:rPr>
        <w:t>为推进双方合作落地，建议明确以下行动项：</w:t>
      </w:r>
    </w:p>
    <w:p>
      <w:pPr/>
      <w:r>
        <w:rPr>
          <w:rFonts w:ascii="仿宋" w:hAnsi="仿宋" w:eastAsia="仿宋"/>
        </w:rPr>
      </w:r>
    </w:p>
    <w:p>
      <w:pPr/>
      <w:r>
        <w:rPr>
          <w:rFonts w:ascii="仿宋" w:hAnsi="仿宋" w:eastAsia="仿宋"/>
          <w:b/>
        </w:rPr>
        <w:t>1. 技术对接评估</w:t>
      </w:r>
    </w:p>
    <w:p>
      <w:pPr/>
      <w:r>
        <w:rPr>
          <w:rFonts w:ascii="仿宋" w:hAnsi="仿宋" w:eastAsia="仿宋"/>
        </w:rPr>
        <w:t>双方技术团队开展对接，评估KubeSphere与华孚现有系统的集成方案，出具技术可行性报告。预计耗时2周。</w:t>
      </w:r>
    </w:p>
    <w:p>
      <w:pPr/>
      <w:r>
        <w:rPr>
          <w:rFonts w:ascii="仿宋" w:hAnsi="仿宋" w:eastAsia="仿宋"/>
          <w:b/>
        </w:rPr>
        <w:t>2. 试点客户确认</w:t>
      </w:r>
    </w:p>
    <w:p>
      <w:pPr/>
      <w:r>
        <w:rPr>
          <w:rFonts w:ascii="仿宋" w:hAnsi="仿宋" w:eastAsia="仿宋"/>
        </w:rPr>
        <w:t>双方各推荐1~2个意向客户，联合制定试点方案，明确试点范围、周期和成功标准。预计耗时1周。</w:t>
      </w:r>
    </w:p>
    <w:p>
      <w:pPr/>
      <w:r>
        <w:rPr>
          <w:rFonts w:ascii="仿宋" w:hAnsi="仿宋" w:eastAsia="仿宋"/>
          <w:b/>
        </w:rPr>
        <w:t>3. 合作协议签署</w:t>
      </w:r>
    </w:p>
    <w:p>
      <w:pPr/>
      <w:r>
        <w:rPr>
          <w:rFonts w:ascii="仿宋" w:hAnsi="仿宋" w:eastAsia="仿宋"/>
        </w:rPr>
        <w:t>明确合作模式、收益分成机制、SLA标准、数据安全条款等核心商务条款。预计耗时2周。</w:t>
      </w:r>
    </w:p>
    <w:p>
      <w:pPr/>
      <w:r>
        <w:rPr>
          <w:rFonts w:ascii="仿宋" w:hAnsi="仿宋" w:eastAsia="仿宋"/>
          <w:b/>
        </w:rPr>
        <w:t>4. 联合市场推广</w:t>
      </w:r>
    </w:p>
    <w:p>
      <w:pPr/>
      <w:r>
        <w:rPr>
          <w:rFonts w:ascii="仿宋" w:hAnsi="仿宋" w:eastAsia="仿宋"/>
        </w:rPr>
        <w:t>策划行业AI研讨会（首场建议定位制造业或金融业），联合发布合作新闻稿。预计耗时3周。</w:t>
      </w:r>
    </w:p>
    <w:p>
      <w:pPr/>
      <w:r>
        <w:rPr>
          <w:rFonts w:ascii="仿宋" w:hAnsi="仿宋" w:eastAsia="仿宋"/>
        </w:rPr>
      </w:r>
    </w:p>
    <w:p>
      <w:pPr/>
      <w:r>
        <w:rPr>
          <w:rFonts w:ascii="仿宋" w:hAnsi="仿宋" w:eastAsia="仿宋"/>
        </w:rPr>
        <w:t>以上方案供徐总参考，期待进一步深入交流与合作探讨。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560" w:lineRule="exact"/>
      <w:ind w:firstLine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560" w:lineRule="exact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560" w:lineRule="exact"/>
      <w:ind w:firstLine="0"/>
      <w:outlineLvl w:val="2"/>
    </w:pPr>
    <w:rPr>
      <w:rFonts w:asciiTheme="majorHAnsi" w:eastAsiaTheme="majorEastAsia" w:hAnsiTheme="majorHAnsi" w:cstheme="majorBidi" w:ascii="楷体" w:hAnsi="楷体" w:eastAsia="楷体"/>
      <w:b w:val="0"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