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6C7" w:rsidRDefault="00EC26C7" w:rsidP="00EC26C7">
      <w:pPr>
        <w:pStyle w:val="a3"/>
        <w:rPr>
          <w:sz w:val="40"/>
        </w:rPr>
      </w:pPr>
      <w:bookmarkStart w:id="0" w:name="_GoBack"/>
    </w:p>
    <w:p w:rsidR="002038A8" w:rsidRDefault="00EC26C7" w:rsidP="002038A8">
      <w:pPr>
        <w:pStyle w:val="a3"/>
        <w:rPr>
          <w:sz w:val="40"/>
        </w:rPr>
      </w:pPr>
      <w:r w:rsidRPr="00DC3658">
        <w:rPr>
          <w:rFonts w:hint="eastAsia"/>
          <w:sz w:val="40"/>
        </w:rPr>
        <w:t>无线</w:t>
      </w:r>
      <w:r w:rsidRPr="00DC3658">
        <w:rPr>
          <w:sz w:val="40"/>
        </w:rPr>
        <w:t>网移动通信基站规划流程</w:t>
      </w:r>
      <w:r>
        <w:rPr>
          <w:rFonts w:hint="eastAsia"/>
          <w:sz w:val="40"/>
        </w:rPr>
        <w:t>以及</w:t>
      </w:r>
    </w:p>
    <w:p w:rsidR="00EC26C7" w:rsidRPr="00DC3658" w:rsidRDefault="002038A8" w:rsidP="002038A8">
      <w:pPr>
        <w:pStyle w:val="a3"/>
        <w:rPr>
          <w:sz w:val="40"/>
        </w:rPr>
      </w:pPr>
      <w:r>
        <w:rPr>
          <w:rFonts w:hint="eastAsia"/>
          <w:sz w:val="40"/>
        </w:rPr>
        <w:t>明确</w:t>
      </w:r>
      <w:r w:rsidR="00EC26C7">
        <w:rPr>
          <w:rFonts w:hint="eastAsia"/>
          <w:sz w:val="40"/>
        </w:rPr>
        <w:t>勘查、变更</w:t>
      </w:r>
      <w:r>
        <w:rPr>
          <w:rFonts w:hint="eastAsia"/>
          <w:sz w:val="40"/>
        </w:rPr>
        <w:t>等</w:t>
      </w:r>
      <w:r w:rsidR="00EC26C7">
        <w:rPr>
          <w:rFonts w:hint="eastAsia"/>
          <w:sz w:val="40"/>
        </w:rPr>
        <w:t>相关问题</w:t>
      </w:r>
    </w:p>
    <w:bookmarkEnd w:id="0"/>
    <w:p w:rsidR="00EC26C7" w:rsidRDefault="00EC26C7" w:rsidP="00EC26C7">
      <w:pPr>
        <w:jc w:val="center"/>
      </w:pPr>
    </w:p>
    <w:p w:rsidR="00EC26C7" w:rsidRDefault="00EC26C7" w:rsidP="00EC26C7">
      <w:pPr>
        <w:jc w:val="center"/>
      </w:pPr>
    </w:p>
    <w:p w:rsidR="00EC26C7" w:rsidRDefault="00EC26C7" w:rsidP="00EC26C7">
      <w:pPr>
        <w:jc w:val="center"/>
      </w:pPr>
      <w:r>
        <w:rPr>
          <w:rFonts w:hint="eastAsia"/>
        </w:rPr>
        <w:t>丽水移动网络</w:t>
      </w:r>
      <w:proofErr w:type="gramStart"/>
      <w:r>
        <w:rPr>
          <w:rFonts w:hint="eastAsia"/>
        </w:rPr>
        <w:t>部网优</w:t>
      </w:r>
      <w:proofErr w:type="gramEnd"/>
      <w:r>
        <w:rPr>
          <w:rFonts w:hint="eastAsia"/>
        </w:rPr>
        <w:t>中心</w:t>
      </w:r>
    </w:p>
    <w:p w:rsidR="00EC26C7" w:rsidRPr="00C07FCE" w:rsidRDefault="00EC26C7" w:rsidP="00EC26C7">
      <w:pPr>
        <w:jc w:val="center"/>
      </w:pPr>
      <w:r>
        <w:rPr>
          <w:rFonts w:hint="eastAsia"/>
        </w:rPr>
        <w:t>2017-02-08</w:t>
      </w: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EC26C7" w:rsidRDefault="00EC26C7" w:rsidP="00AC14E2">
      <w:pPr>
        <w:pStyle w:val="a3"/>
        <w:jc w:val="left"/>
        <w:rPr>
          <w:sz w:val="21"/>
          <w:szCs w:val="21"/>
        </w:rPr>
      </w:pPr>
    </w:p>
    <w:p w:rsidR="00C621F4" w:rsidRPr="00C621F4" w:rsidRDefault="00AC14E2" w:rsidP="00C621F4">
      <w:pPr>
        <w:pStyle w:val="a3"/>
        <w:numPr>
          <w:ilvl w:val="0"/>
          <w:numId w:val="5"/>
        </w:numPr>
        <w:jc w:val="left"/>
        <w:rPr>
          <w:sz w:val="21"/>
          <w:szCs w:val="21"/>
        </w:rPr>
      </w:pPr>
      <w:r w:rsidRPr="005F5E13">
        <w:rPr>
          <w:rFonts w:hint="eastAsia"/>
          <w:sz w:val="21"/>
          <w:szCs w:val="21"/>
        </w:rPr>
        <w:t>规划建设流程图</w:t>
      </w:r>
      <w:r w:rsidR="00C621F4">
        <w:object w:dxaOrig="7417" w:dyaOrig="15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pt;height:676.5pt" o:ole="">
            <v:imagedata r:id="rId8" o:title=""/>
          </v:shape>
          <o:OLEObject Type="Embed" ProgID="Visio.Drawing.11" ShapeID="_x0000_i1025" DrawAspect="Content" ObjectID="_1549096311" r:id="rId9"/>
        </w:object>
      </w:r>
    </w:p>
    <w:p w:rsidR="00204732" w:rsidRPr="005F5E13" w:rsidRDefault="00AC14E2" w:rsidP="00AC14E2">
      <w:pPr>
        <w:pStyle w:val="a3"/>
        <w:jc w:val="left"/>
      </w:pPr>
      <w:r w:rsidRPr="005F5E13">
        <w:rPr>
          <w:rFonts w:hint="eastAsia"/>
          <w:sz w:val="21"/>
          <w:szCs w:val="21"/>
        </w:rPr>
        <w:t>二、流程说明</w:t>
      </w:r>
    </w:p>
    <w:tbl>
      <w:tblPr>
        <w:tblW w:w="0" w:type="auto"/>
        <w:tblInd w:w="93" w:type="dxa"/>
        <w:tblLook w:val="04A0"/>
      </w:tblPr>
      <w:tblGrid>
        <w:gridCol w:w="385"/>
        <w:gridCol w:w="906"/>
        <w:gridCol w:w="5116"/>
        <w:gridCol w:w="838"/>
        <w:gridCol w:w="1184"/>
      </w:tblGrid>
      <w:tr w:rsidR="00BF1CE8" w:rsidRPr="008F7C9A" w:rsidTr="00BC01B9">
        <w:trPr>
          <w:trHeight w:val="49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环节描述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主要内容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责任主体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配合方</w:t>
            </w:r>
          </w:p>
        </w:tc>
      </w:tr>
      <w:tr w:rsidR="00BF1CE8" w:rsidRPr="008F7C9A" w:rsidTr="00BC01B9">
        <w:trPr>
          <w:trHeight w:val="54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待建入库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C26A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完成各类覆盖提升专项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预规划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需求收集</w:t>
            </w: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，并提供经纬度、站点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类型、建设目标等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预规划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信息，并提交片区组审核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412A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网优各片区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联系人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cs="Calibri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cs="Calibri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</w:tr>
      <w:tr w:rsidR="00BF1CE8" w:rsidRPr="008F7C9A" w:rsidTr="00BC01B9">
        <w:trPr>
          <w:trHeight w:val="60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规划删除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8173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站点关联规划问题可通过其他方式手段已解决或规划不合理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BC01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网优各片区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联系人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</w:p>
        </w:tc>
      </w:tr>
      <w:tr w:rsidR="00BF1CE8" w:rsidRPr="008F7C9A" w:rsidTr="00BC01B9">
        <w:trPr>
          <w:trHeight w:val="65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片区审核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8173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网优片区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负责人对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预规划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收集需求的入库审核，建设不合理予以退回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8173AB">
            <w:pPr>
              <w:widowControl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网优片区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主管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cs="Calibri"/>
                <w:color w:val="000000"/>
                <w:kern w:val="0"/>
                <w:sz w:val="13"/>
                <w:szCs w:val="13"/>
              </w:rPr>
            </w:pPr>
          </w:p>
        </w:tc>
      </w:tr>
      <w:tr w:rsidR="00BF1CE8" w:rsidRPr="008F7C9A" w:rsidTr="00DE4E2F">
        <w:trPr>
          <w:trHeight w:val="69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规划审核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655E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专业对规划需求进行二次审核，确定规划必要性。审核通过站点纳入待建库，并下发勘查任务，启动站点勘查；审核未通过站点退回需求库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 xml:space="preserve">专业　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</w:p>
        </w:tc>
      </w:tr>
      <w:tr w:rsidR="00BF1CE8" w:rsidRPr="008F7C9A" w:rsidTr="00DE4E2F">
        <w:trPr>
          <w:trHeight w:val="111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526EB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4F4E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启动勘察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B52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片区牵头，设计院、县工程部、室分集成厂家参与配合，其中宏站、六大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场景室分通知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铁塔，</w:t>
            </w:r>
            <w:r w:rsidR="00B526EB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共同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完成勘察任务。完成现场勘查后</w:t>
            </w:r>
            <w:r w:rsidR="00B526EB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，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规划</w:t>
            </w:r>
            <w:r w:rsidR="00B526EB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不合理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站点予以退回</w:t>
            </w:r>
            <w:r w:rsidR="00B526EB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需求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，确认规划站点启动勘查报告撰写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3C5CAB" w:rsidP="004F4EB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网优各片区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联系人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cs="Calibri"/>
                <w:color w:val="000000"/>
                <w:kern w:val="0"/>
                <w:sz w:val="13"/>
                <w:szCs w:val="13"/>
              </w:rPr>
            </w:pP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网优各片区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联系人、设计院、县市工程、铁塔、集成厂家</w:t>
            </w:r>
          </w:p>
        </w:tc>
      </w:tr>
      <w:tr w:rsidR="00BF1CE8" w:rsidRPr="008F7C9A" w:rsidTr="00DE4E2F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1C4E1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F2D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完成勘查报告（片区）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1C4E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网优各片区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联系人完成</w:t>
            </w:r>
            <w:r w:rsidR="001C4E19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勘查报告撰写，主要包括勘查报告总表、</w:t>
            </w:r>
            <w:r w:rsidR="001C4E19" w:rsidRPr="001C4E19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关联投诉工单、弱覆盖测试数据</w:t>
            </w:r>
            <w:r w:rsidR="001C4E19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，完成后发送至设计院补充；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F2D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网优各片区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联系人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F2D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</w:p>
        </w:tc>
      </w:tr>
      <w:tr w:rsidR="00BF1CE8" w:rsidRPr="008F7C9A" w:rsidTr="00DE4E2F">
        <w:trPr>
          <w:trHeight w:val="76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1C4E1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完成勘查报告（设计院）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DE4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设计院</w:t>
            </w:r>
            <w:r w:rsidR="00DE4E2F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补充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勘察报告</w:t>
            </w:r>
            <w:r w:rsidR="00DE4E2F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剩余部分信息，主要包括勘查报告总表、站点位置说明、</w:t>
            </w:r>
            <w:r w:rsidR="00DE4E2F" w:rsidRPr="00DE4E2F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基站周围无线环境</w:t>
            </w:r>
            <w:r w:rsidR="00824D96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，并提交站点相应的建设投足估算信息</w:t>
            </w:r>
            <w:r w:rsidR="00DE4E2F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；完成后发送</w:t>
            </w:r>
            <w:proofErr w:type="gramStart"/>
            <w:r w:rsidR="00DE4E2F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至网优规划</w:t>
            </w:r>
            <w:proofErr w:type="gramEnd"/>
            <w:r w:rsidR="00DE4E2F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组审核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设计院</w:t>
            </w:r>
            <w:r w:rsidR="001A49DE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各县市负责人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cs="Calibri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cs="Calibri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</w:tr>
      <w:tr w:rsidR="00BF1CE8" w:rsidRPr="008F7C9A" w:rsidTr="00BC01B9">
        <w:trPr>
          <w:trHeight w:val="9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DE4E2F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4E2F" w:rsidRDefault="00BC01B9" w:rsidP="000304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规划审核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br/>
              <w:t>平台交互</w:t>
            </w:r>
          </w:p>
          <w:p w:rsidR="00BC01B9" w:rsidRPr="008F7C9A" w:rsidRDefault="00DE4E2F" w:rsidP="000304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Theme="minorHAnsi" w:cs="宋体" w:hint="eastAsia"/>
                <w:color w:val="000000"/>
                <w:kern w:val="0"/>
                <w:sz w:val="12"/>
                <w:szCs w:val="12"/>
                <w:lang w:val="zh-CN"/>
              </w:rPr>
              <w:t>省公司审核</w:t>
            </w:r>
            <w:r w:rsidR="00BC01B9"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0304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（1）市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专业对已提交</w:t>
            </w:r>
            <w:r w:rsidR="00824D96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勘查报告的站点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进行审核，审核通过站点提交至全息规划平台，并配合省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专业完成终审储备。</w:t>
            </w:r>
          </w:p>
          <w:p w:rsidR="00BC01B9" w:rsidRPr="008F7C9A" w:rsidRDefault="00BC01B9" w:rsidP="00824D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（2）站点录入储备库后，市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专业根据站点的重要性当前规划原则将储备站点</w:t>
            </w:r>
            <w:r w:rsidR="00824D96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分别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标记</w:t>
            </w:r>
            <w:r w:rsidR="00824D96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为“建设摸底库”与“站址储备库”；其中“建设摸底库”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移交给工</w:t>
            </w:r>
            <w:r w:rsidRPr="00824D96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程做建设摸底（非正式移交</w:t>
            </w:r>
            <w:r w:rsidR="00824D96" w:rsidRPr="00824D96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建设需求</w:t>
            </w:r>
            <w:r w:rsidRPr="00824D96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）；“站址储备库”经</w:t>
            </w:r>
            <w:r w:rsidR="00824D96" w:rsidRPr="00824D96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公司</w:t>
            </w:r>
            <w:r w:rsidRPr="00824D96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决策后可直接移交工程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提前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启动站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址储备；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0304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824D96" w:rsidP="00BF1CE8">
            <w:pPr>
              <w:widowControl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</w:t>
            </w:r>
          </w:p>
        </w:tc>
      </w:tr>
      <w:tr w:rsidR="00BF1CE8" w:rsidRPr="008F7C9A" w:rsidTr="00BF1CE8">
        <w:trPr>
          <w:trHeight w:val="77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824D96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建设摸底库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C823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对准备建设移交但省公司不一定能确保规模批复的站点，纳入建设摸底库等待规模下达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BE01EB">
            <w:pPr>
              <w:widowControl/>
              <w:jc w:val="left"/>
              <w:rPr>
                <w:rFonts w:cs="Calibri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cs="Calibri" w:hint="eastAsia"/>
                <w:color w:val="000000"/>
                <w:kern w:val="0"/>
                <w:sz w:val="13"/>
                <w:szCs w:val="13"/>
              </w:rPr>
              <w:t>市工程</w:t>
            </w:r>
          </w:p>
        </w:tc>
      </w:tr>
      <w:tr w:rsidR="00BF1CE8" w:rsidRPr="008F7C9A" w:rsidTr="00BF1CE8">
        <w:trPr>
          <w:trHeight w:val="78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纳入规模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BE01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规模下达时，建设摸底库中可纳入规模的站点移动至“站址储备库”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BF1CE8">
            <w:pPr>
              <w:widowControl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市工程</w:t>
            </w:r>
            <w:r w:rsidR="00BC01B9"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</w:tr>
      <w:tr w:rsidR="00BF1CE8" w:rsidRPr="008F7C9A" w:rsidTr="00BF1CE8">
        <w:trPr>
          <w:trHeight w:val="5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站址储备库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BE01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工程审核“站址储备库”站点，并确认建设移交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市工程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</w:p>
        </w:tc>
      </w:tr>
      <w:tr w:rsidR="00BF1CE8" w:rsidRPr="008F7C9A" w:rsidTr="00BC01B9">
        <w:trPr>
          <w:trHeight w:val="9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确定移交方案（需求收集表）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5349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确定站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址移交方案，并完成移交需求收集表，建设方案提交维护中心审核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</w:p>
        </w:tc>
      </w:tr>
      <w:tr w:rsidR="00BF1CE8" w:rsidRPr="008F7C9A" w:rsidTr="00BF1CE8">
        <w:trPr>
          <w:trHeight w:val="66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1</w:t>
            </w:r>
            <w:r w:rsidR="00C621F4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确定站点承建方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确定站址建设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移交对象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工程部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C82380">
            <w:pPr>
              <w:widowControl/>
              <w:jc w:val="left"/>
              <w:rPr>
                <w:rFonts w:cs="Calibri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</w:t>
            </w:r>
          </w:p>
        </w:tc>
      </w:tr>
      <w:tr w:rsidR="00BF1CE8" w:rsidRPr="008F7C9A" w:rsidTr="00BC01B9">
        <w:trPr>
          <w:trHeight w:val="9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C621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1</w:t>
            </w:r>
            <w:r w:rsidR="00C621F4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建设移交（需求收集表）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DE0D1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向承建方移交需求收集表，完成建设需求正式移交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BF1CE8">
            <w:pPr>
              <w:widowControl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cs="Calibri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cs="Calibri"/>
                <w:color w:val="000000"/>
                <w:kern w:val="0"/>
                <w:sz w:val="13"/>
                <w:szCs w:val="13"/>
              </w:rPr>
              <w:t xml:space="preserve">　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工程部</w:t>
            </w:r>
          </w:p>
        </w:tc>
      </w:tr>
      <w:tr w:rsidR="00BF1CE8" w:rsidRPr="008F7C9A" w:rsidTr="00BC01B9">
        <w:trPr>
          <w:trHeight w:val="9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C621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1</w:t>
            </w:r>
            <w:r w:rsidR="00C621F4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BF1C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Theme="minorHAnsi" w:cs="宋体" w:hint="eastAsia"/>
                <w:color w:val="000000"/>
                <w:kern w:val="0"/>
                <w:sz w:val="12"/>
                <w:szCs w:val="12"/>
                <w:lang w:val="zh-CN"/>
              </w:rPr>
              <w:t>建设方案确定，提交审核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承建方站址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、建设方案确认可落实</w:t>
            </w:r>
            <w:r w:rsidR="00BC01B9"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后，</w:t>
            </w: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将建设方案</w:t>
            </w:r>
            <w:r w:rsidR="00BC01B9"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提交</w:t>
            </w: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 w:rsidR="00BC01B9"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="00BC01B9"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专业审核，</w:t>
            </w: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网优组织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建设方案会审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BF1CE8">
            <w:pPr>
              <w:widowControl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承建方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</w:p>
        </w:tc>
      </w:tr>
      <w:tr w:rsidR="00BF1CE8" w:rsidRPr="008F7C9A" w:rsidTr="00BC01B9">
        <w:trPr>
          <w:trHeight w:val="9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C621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1</w:t>
            </w:r>
            <w:r w:rsidR="00C621F4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方案会审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BF1C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</w:t>
            </w:r>
            <w:r w:rsidRPr="008F7C9A">
              <w:rPr>
                <w:rFonts w:ascii="宋体" w:hAnsi="宋体" w:cs="宋体" w:hint="eastAsia"/>
                <w:kern w:val="0"/>
                <w:sz w:val="13"/>
                <w:szCs w:val="13"/>
              </w:rPr>
              <w:t>规划</w:t>
            </w:r>
            <w:proofErr w:type="gramEnd"/>
            <w:r w:rsidRPr="008F7C9A">
              <w:rPr>
                <w:rFonts w:ascii="宋体" w:hAnsi="宋体" w:cs="宋体" w:hint="eastAsia"/>
                <w:kern w:val="0"/>
                <w:sz w:val="13"/>
                <w:szCs w:val="13"/>
              </w:rPr>
              <w:t>专业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牵头</w:t>
            </w:r>
            <w:r w:rsidR="00BF1CE8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组织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建设方案会审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BF1CE8">
            <w:pPr>
              <w:widowControl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20196C">
            <w:pPr>
              <w:widowControl/>
              <w:jc w:val="left"/>
              <w:rPr>
                <w:rFonts w:cs="Calibri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cs="Calibri"/>
                <w:color w:val="000000"/>
                <w:kern w:val="0"/>
                <w:sz w:val="13"/>
                <w:szCs w:val="13"/>
              </w:rPr>
              <w:t xml:space="preserve">　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市公司工程、设计院、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网优各片区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联系人、</w:t>
            </w:r>
          </w:p>
        </w:tc>
      </w:tr>
      <w:tr w:rsidR="00BF1CE8" w:rsidRPr="008F7C9A" w:rsidTr="00204505">
        <w:trPr>
          <w:trHeight w:val="46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C621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1</w:t>
            </w:r>
            <w:r w:rsidR="00C621F4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承建超时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5445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需求移交后，定期统计承建超时站点</w:t>
            </w:r>
            <w:r w:rsidR="00BF1CE8" w:rsidRPr="005445E7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（</w:t>
            </w:r>
            <w:r w:rsidR="005445E7" w:rsidRPr="005445E7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50个工作日</w:t>
            </w:r>
            <w:r w:rsidR="00BF1CE8" w:rsidRPr="005445E7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）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，并将承建超时站点告知工程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市工程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市规划专业</w:t>
            </w:r>
          </w:p>
        </w:tc>
      </w:tr>
      <w:tr w:rsidR="00BF1CE8" w:rsidRPr="008F7C9A" w:rsidTr="00204505">
        <w:trPr>
          <w:trHeight w:val="4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C621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1</w:t>
            </w:r>
            <w:r w:rsidR="00C621F4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需求收回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2B46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承建超时站点确定是否收回建设需求</w:t>
            </w:r>
            <w:r w:rsidR="00BF1CE8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，并重新确定站点承建方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市工程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F1CE8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县市工程</w:t>
            </w:r>
          </w:p>
        </w:tc>
      </w:tr>
      <w:tr w:rsidR="00BF1CE8" w:rsidRPr="008F7C9A" w:rsidTr="00BC01B9">
        <w:trPr>
          <w:trHeight w:val="9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C621F4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建设订单签字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2045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对承建方反馈规划站点</w:t>
            </w:r>
            <w:r w:rsidR="00204505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经会审、维护中心审核确认后，予以在建设订单上签字</w:t>
            </w: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，承建方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方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可启动站点建设</w:t>
            </w:r>
            <w:r w:rsidR="00204505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；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专业</w:t>
            </w:r>
          </w:p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市工程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20196C">
            <w:pPr>
              <w:widowControl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</w:p>
        </w:tc>
      </w:tr>
      <w:tr w:rsidR="00BF1CE8" w:rsidRPr="008F7C9A" w:rsidTr="00BC01B9">
        <w:trPr>
          <w:trHeight w:val="9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C621F4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站址储备完成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确认规划站点站址储备完成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市工程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01B9" w:rsidRPr="008F7C9A" w:rsidRDefault="00BC01B9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</w:tr>
      <w:tr w:rsidR="00204505" w:rsidRPr="008F7C9A" w:rsidTr="00BC01B9">
        <w:trPr>
          <w:trHeight w:val="9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8F7C9A" w:rsidRDefault="00C621F4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8F7C9A" w:rsidRDefault="00204505" w:rsidP="00D86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站点开通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8F7C9A" w:rsidRDefault="00204505" w:rsidP="00D86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完成已纳入规模站点的开通建设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8F7C9A" w:rsidRDefault="00204505" w:rsidP="00D86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工程部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8F7C9A" w:rsidRDefault="00204505" w:rsidP="00D86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网优规划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 xml:space="preserve">专业　</w:t>
            </w:r>
          </w:p>
        </w:tc>
      </w:tr>
      <w:tr w:rsidR="00204505" w:rsidRPr="008F7C9A" w:rsidTr="00BC01B9">
        <w:trPr>
          <w:trHeight w:val="9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8F7C9A" w:rsidRDefault="00C621F4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8F7C9A" w:rsidRDefault="00204505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单验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8F7C9A" w:rsidRDefault="00204505" w:rsidP="002045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站点开通后，完成站点单站验证、性能指标优化与交维，评估单个站点的规划达成情况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204505" w:rsidRDefault="00511000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市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网优单验人员</w:t>
            </w:r>
            <w:proofErr w:type="gramEnd"/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8F7C9A" w:rsidRDefault="00204505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</w:p>
        </w:tc>
      </w:tr>
      <w:tr w:rsidR="00204505" w:rsidRPr="008F7C9A" w:rsidTr="00BC01B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8F7C9A" w:rsidRDefault="00C621F4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8F7C9A" w:rsidRDefault="00204505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入网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8F7C9A" w:rsidRDefault="00AC14E2" w:rsidP="00AB2C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站点通过性能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交维后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割接至维护网优，完成站点入网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AC14E2" w:rsidRDefault="00A92FFE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网优各片区</w:t>
            </w:r>
            <w:proofErr w:type="gramEnd"/>
            <w:r w:rsidRPr="008F7C9A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联系人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505" w:rsidRPr="008F7C9A" w:rsidRDefault="00204505" w:rsidP="00AB2C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</w:p>
        </w:tc>
      </w:tr>
    </w:tbl>
    <w:p w:rsidR="00204732" w:rsidRDefault="00204732" w:rsidP="00AB2CE9">
      <w:pPr>
        <w:jc w:val="center"/>
      </w:pPr>
    </w:p>
    <w:p w:rsidR="00DD2BFC" w:rsidRPr="00DD2BFC" w:rsidRDefault="00DD2BFC" w:rsidP="006039F8">
      <w:pPr>
        <w:rPr>
          <w:b/>
        </w:rPr>
      </w:pPr>
    </w:p>
    <w:sectPr w:rsidR="00DD2BFC" w:rsidRPr="00DD2BFC" w:rsidSect="00912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627" w:rsidRDefault="003C0627" w:rsidP="00ED0659">
      <w:r>
        <w:separator/>
      </w:r>
    </w:p>
  </w:endnote>
  <w:endnote w:type="continuationSeparator" w:id="0">
    <w:p w:rsidR="003C0627" w:rsidRDefault="003C0627" w:rsidP="00ED0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627" w:rsidRDefault="003C0627" w:rsidP="00ED0659">
      <w:r>
        <w:separator/>
      </w:r>
    </w:p>
  </w:footnote>
  <w:footnote w:type="continuationSeparator" w:id="0">
    <w:p w:rsidR="003C0627" w:rsidRDefault="003C0627" w:rsidP="00ED06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34D5"/>
    <w:multiLevelType w:val="hybridMultilevel"/>
    <w:tmpl w:val="60BA3D52"/>
    <w:lvl w:ilvl="0" w:tplc="16C62C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80643"/>
    <w:multiLevelType w:val="hybridMultilevel"/>
    <w:tmpl w:val="2172930A"/>
    <w:lvl w:ilvl="0" w:tplc="BBAAEBE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FD1E39"/>
    <w:multiLevelType w:val="hybridMultilevel"/>
    <w:tmpl w:val="7ED8B17E"/>
    <w:lvl w:ilvl="0" w:tplc="E1AAC11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461A5D"/>
    <w:multiLevelType w:val="hybridMultilevel"/>
    <w:tmpl w:val="535A3562"/>
    <w:lvl w:ilvl="0" w:tplc="66C2BC82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D8F5CFF"/>
    <w:multiLevelType w:val="hybridMultilevel"/>
    <w:tmpl w:val="9C3EA06E"/>
    <w:lvl w:ilvl="0" w:tplc="B64C3318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732"/>
    <w:rsid w:val="000304E7"/>
    <w:rsid w:val="000810C0"/>
    <w:rsid w:val="000A267B"/>
    <w:rsid w:val="000B2388"/>
    <w:rsid w:val="000C16D1"/>
    <w:rsid w:val="000C4063"/>
    <w:rsid w:val="000E5EC7"/>
    <w:rsid w:val="00136D58"/>
    <w:rsid w:val="00162DA3"/>
    <w:rsid w:val="00185AE1"/>
    <w:rsid w:val="001A2A42"/>
    <w:rsid w:val="001A49DE"/>
    <w:rsid w:val="001C4E19"/>
    <w:rsid w:val="0020196C"/>
    <w:rsid w:val="002038A8"/>
    <w:rsid w:val="00204505"/>
    <w:rsid w:val="00204732"/>
    <w:rsid w:val="002649E0"/>
    <w:rsid w:val="00275A72"/>
    <w:rsid w:val="002B4678"/>
    <w:rsid w:val="00347BEA"/>
    <w:rsid w:val="003568BC"/>
    <w:rsid w:val="00367BE0"/>
    <w:rsid w:val="003C0627"/>
    <w:rsid w:val="003C5CAB"/>
    <w:rsid w:val="00412A72"/>
    <w:rsid w:val="00420D92"/>
    <w:rsid w:val="0043738C"/>
    <w:rsid w:val="00441A05"/>
    <w:rsid w:val="00443BCF"/>
    <w:rsid w:val="00470B18"/>
    <w:rsid w:val="004E555A"/>
    <w:rsid w:val="004F4EBF"/>
    <w:rsid w:val="00511000"/>
    <w:rsid w:val="00534925"/>
    <w:rsid w:val="00535136"/>
    <w:rsid w:val="005445E7"/>
    <w:rsid w:val="005D1F8F"/>
    <w:rsid w:val="005F5E13"/>
    <w:rsid w:val="006039F8"/>
    <w:rsid w:val="006040D6"/>
    <w:rsid w:val="006269E5"/>
    <w:rsid w:val="00655EF6"/>
    <w:rsid w:val="0066181A"/>
    <w:rsid w:val="00666233"/>
    <w:rsid w:val="00690A00"/>
    <w:rsid w:val="0071587F"/>
    <w:rsid w:val="00717E70"/>
    <w:rsid w:val="00724C01"/>
    <w:rsid w:val="007445A7"/>
    <w:rsid w:val="007E4198"/>
    <w:rsid w:val="008173AB"/>
    <w:rsid w:val="00824D96"/>
    <w:rsid w:val="008443A4"/>
    <w:rsid w:val="0085653D"/>
    <w:rsid w:val="008D6E7E"/>
    <w:rsid w:val="008F7C9A"/>
    <w:rsid w:val="009072C0"/>
    <w:rsid w:val="00910063"/>
    <w:rsid w:val="00912A0F"/>
    <w:rsid w:val="009761A8"/>
    <w:rsid w:val="00990AF7"/>
    <w:rsid w:val="00A76B2C"/>
    <w:rsid w:val="00A92FFE"/>
    <w:rsid w:val="00AB2CE9"/>
    <w:rsid w:val="00AC14E2"/>
    <w:rsid w:val="00B01EAC"/>
    <w:rsid w:val="00B336EE"/>
    <w:rsid w:val="00B37DEA"/>
    <w:rsid w:val="00B44E3A"/>
    <w:rsid w:val="00B526EB"/>
    <w:rsid w:val="00B6165B"/>
    <w:rsid w:val="00B94140"/>
    <w:rsid w:val="00BC01B9"/>
    <w:rsid w:val="00BE01EB"/>
    <w:rsid w:val="00BF1CE8"/>
    <w:rsid w:val="00C0235E"/>
    <w:rsid w:val="00C0313C"/>
    <w:rsid w:val="00C26AE7"/>
    <w:rsid w:val="00C621F4"/>
    <w:rsid w:val="00C82380"/>
    <w:rsid w:val="00CE1333"/>
    <w:rsid w:val="00CE270C"/>
    <w:rsid w:val="00D262E3"/>
    <w:rsid w:val="00DB1F6A"/>
    <w:rsid w:val="00DC3515"/>
    <w:rsid w:val="00DC3658"/>
    <w:rsid w:val="00DD2BFC"/>
    <w:rsid w:val="00DE0D1D"/>
    <w:rsid w:val="00DE4E2F"/>
    <w:rsid w:val="00DF0D93"/>
    <w:rsid w:val="00E10362"/>
    <w:rsid w:val="00E7755B"/>
    <w:rsid w:val="00EA044D"/>
    <w:rsid w:val="00EC26C7"/>
    <w:rsid w:val="00EC2E6B"/>
    <w:rsid w:val="00ED0659"/>
    <w:rsid w:val="00F249CC"/>
    <w:rsid w:val="00F468D8"/>
    <w:rsid w:val="00F948AD"/>
    <w:rsid w:val="00FC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73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047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4732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0473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04732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D0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65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659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A044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A044D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304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CD540-74EB-4343-9EA7-FD2C0E458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Company>Microsoft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liujie</dc:creator>
  <cp:lastModifiedBy>hanlong3</cp:lastModifiedBy>
  <cp:revision>1</cp:revision>
  <cp:lastPrinted>2017-02-08T07:09:00Z</cp:lastPrinted>
  <dcterms:created xsi:type="dcterms:W3CDTF">2017-02-20T03:45:00Z</dcterms:created>
  <dcterms:modified xsi:type="dcterms:W3CDTF">2017-02-20T03:45:00Z</dcterms:modified>
</cp:coreProperties>
</file>