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微软雅黑"/>
          <w:b/>
          <w:i w:val="0"/>
          <w:color w:val="0F2C59"/>
          <w:sz w:val="44"/>
        </w:rPr>
        <w:t>DeepSeek-AuditMind (v2.2) 深度调研与全栈改进方案报告</w:t>
      </w:r>
    </w:p>
    <w:p>
      <w:pPr>
        <w:spacing w:before="0" w:after="240"/>
      </w:pPr>
      <w:r>
        <w:rPr>
          <w:rFonts w:ascii="Calibri" w:hAnsi="Calibri" w:eastAsia="微软雅黑"/>
          <w:b/>
          <w:i w:val="0"/>
          <w:color w:val="475569"/>
          <w:sz w:val="22"/>
        </w:rPr>
        <w:t>对标 2025–2026 全球会计与审计智能体最前沿应用案例的代码级体检、算子升级与决赛冲刺路线图</w:t>
      </w:r>
    </w:p>
    <w:tbl>
      <w:tblPr>
        <w:tblW w:type="auto" w:w="0"/>
        <w:jc w:val="center"/>
        <w:tblLook w:firstColumn="1" w:firstRow="1" w:lastColumn="0" w:lastRow="0" w:noHBand="0" w:noVBand="1" w:val="04A0"/>
      </w:tblPr>
      <w:tblGrid>
        <w:gridCol w:w="9360"/>
      </w:tblGrid>
      <w:tr>
        <w:trPr>
          <w:cantSplit/>
        </w:trPr>
        <w:tc>
          <w:tcPr>
            <w:tcW w:type="dxa" w:w="9360"/>
            <w:tcMar>
              <w:top w:w="140" w:type="dxa"/>
              <w:bottom w:w="140" w:type="dxa"/>
              <w:left w:w="180" w:type="dxa"/>
              <w:right w:w="160" w:type="dxa"/>
            </w:tcMar>
            <w:shd w:fill="F8FAFC"/>
            <w:tcBorders>
              <w:top w:val="single" w:sz="4" w:space="0" w:color="E2E8F0"/>
              <w:left w:val="single" w:sz="24" w:space="0" w:color="0F2C59"/>
              <w:bottom w:val="single" w:sz="4" w:space="0" w:color="E2E8F0"/>
              <w:right w:val="single" w:sz="4" w:space="0" w:color="E2E8F0"/>
            </w:tcBorders>
          </w:tcPr>
          <w:p>
            <w:pPr>
              <w:spacing w:before="0" w:after="80" w:line="276" w:lineRule="auto"/>
            </w:pPr>
            <w:r>
              <w:rPr>
                <w:rFonts w:ascii="Calibri" w:hAnsi="Calibri" w:eastAsia="微软雅黑"/>
                <w:b/>
                <w:i w:val="0"/>
                <w:color w:val="0F2C59"/>
                <w:sz w:val="22"/>
              </w:rPr>
              <w:t>核心诊断结论：双层架构基底扎实，但“前后端断层”与“四大会计算子盲区”亟待赛前闭环</w:t>
            </w:r>
          </w:p>
          <w:p>
            <w:pPr>
              <w:spacing w:before="0" w:after="80" w:line="276" w:lineRule="auto"/>
            </w:pPr>
            <w:r>
              <w:rPr>
                <w:rFonts w:ascii="Calibri" w:hAnsi="Calibri" w:eastAsia="微软雅黑"/>
                <w:b/>
                <w:i w:val="0"/>
                <w:color w:val="0F2C59"/>
                <w:sz w:val="21"/>
              </w:rPr>
              <w:t>已有核心优势：</w:t>
            </w:r>
            <w:r>
              <w:rPr>
                <w:rFonts w:ascii="Calibri" w:hAnsi="Calibri" w:eastAsia="微软雅黑"/>
                <w:b w:val="0"/>
                <w:i w:val="0"/>
                <w:color w:val="1E293B"/>
                <w:sz w:val="21"/>
              </w:rPr>
              <w:t xml:space="preserve">项目构建了“确定性算子算数 + DeepSeek 准则定性 + </w:t>
            </w:r>
            <w:r>
              <w:rPr>
                <w:rFonts w:ascii="Consolas" w:hAnsi="Consolas" w:eastAsia="微软雅黑"/>
                <w:b/>
                <w:i w:val="0"/>
                <w:color w:val="1A56A0"/>
                <w:sz w:val="21"/>
              </w:rPr>
              <w:t>ground_findings</w:t>
            </w:r>
            <w:r>
              <w:rPr>
                <w:rFonts w:ascii="Calibri" w:hAnsi="Calibri" w:eastAsia="微软雅黑"/>
                <w:b w:val="0"/>
                <w:i w:val="0"/>
                <w:color w:val="1E293B"/>
                <w:sz w:val="21"/>
              </w:rPr>
              <w:t xml:space="preserve"> 证据锚定守卫”的双层架构，回填了 23 家舞弊企业巨潮资讯当年原始年报数据，并配套 14 例独立外部盲测集（</w:t>
            </w:r>
            <w:r>
              <w:rPr>
                <w:rFonts w:ascii="Consolas" w:hAnsi="Consolas" w:eastAsia="微软雅黑"/>
                <w:b/>
                <w:i w:val="0"/>
                <w:color w:val="1A56A0"/>
                <w:sz w:val="21"/>
              </w:rPr>
              <w:t>data/cases/blind/</w:t>
            </w:r>
            <w:r>
              <w:rPr>
                <w:rFonts w:ascii="Calibri" w:hAnsi="Calibri" w:eastAsia="微软雅黑"/>
                <w:b w:val="0"/>
                <w:i w:val="0"/>
                <w:color w:val="1E293B"/>
                <w:sz w:val="21"/>
              </w:rPr>
              <w:t>）与 20 种子合成随机账套（</w:t>
            </w:r>
            <w:r>
              <w:rPr>
                <w:rFonts w:ascii="Consolas" w:hAnsi="Consolas" w:eastAsia="微软雅黑"/>
                <w:b/>
                <w:i w:val="0"/>
                <w:color w:val="1A56A0"/>
                <w:sz w:val="21"/>
              </w:rPr>
              <w:t>blind_synthetic.py</w:t>
            </w:r>
            <w:r>
              <w:rPr>
                <w:rFonts w:ascii="Calibri" w:hAnsi="Calibri" w:eastAsia="微软雅黑"/>
                <w:b w:val="0"/>
                <w:i w:val="0"/>
                <w:color w:val="1E293B"/>
                <w:sz w:val="21"/>
              </w:rPr>
              <w:t>），前端「暗房·亮底稿」视觉设计（</w:t>
            </w:r>
            <w:r>
              <w:rPr>
                <w:rFonts w:ascii="Consolas" w:hAnsi="Consolas" w:eastAsia="微软雅黑"/>
                <w:b/>
                <w:i w:val="0"/>
                <w:color w:val="1A56A0"/>
                <w:sz w:val="21"/>
              </w:rPr>
              <w:t>frontend/DESIGN.md</w:t>
            </w:r>
            <w:r>
              <w:rPr>
                <w:rFonts w:ascii="Calibri" w:hAnsi="Calibri" w:eastAsia="微软雅黑"/>
                <w:b w:val="0"/>
                <w:i w:val="0"/>
                <w:color w:val="1E293B"/>
                <w:sz w:val="21"/>
              </w:rPr>
              <w:t>）克制专业，远超常规竞赛原型。</w:t>
            </w:r>
          </w:p>
          <w:p>
            <w:pPr>
              <w:spacing w:before="0" w:after="0" w:line="276" w:lineRule="auto"/>
            </w:pPr>
            <w:r>
              <w:rPr>
                <w:rFonts w:ascii="Calibri" w:hAnsi="Calibri" w:eastAsia="微软雅黑"/>
                <w:b/>
                <w:i w:val="0"/>
                <w:color w:val="B91C1C"/>
                <w:sz w:val="21"/>
              </w:rPr>
              <w:t>四大关键短板：</w:t>
            </w:r>
            <w:r>
              <w:rPr>
                <w:rFonts w:ascii="Calibri" w:hAnsi="Calibri" w:eastAsia="微软雅黑"/>
                <w:b w:val="0"/>
                <w:i w:val="0"/>
                <w:color w:val="1E293B"/>
                <w:sz w:val="21"/>
              </w:rPr>
              <w:t xml:space="preserve">① </w:t>
            </w:r>
            <w:r>
              <w:rPr>
                <w:rFonts w:ascii="Calibri" w:hAnsi="Calibri" w:eastAsia="微软雅黑"/>
                <w:b/>
                <w:i w:val="0"/>
                <w:color w:val="1E293B"/>
                <w:sz w:val="21"/>
              </w:rPr>
              <w:t>前后端数据断层与答辩穿帮隐患</w:t>
            </w:r>
            <w:r>
              <w:rPr>
                <w:rFonts w:ascii="Calibri" w:hAnsi="Calibri" w:eastAsia="微软雅黑"/>
                <w:b w:val="0"/>
                <w:i w:val="0"/>
                <w:color w:val="1E293B"/>
                <w:sz w:val="21"/>
              </w:rPr>
              <w:t xml:space="preserve">（28案例竞技场表格硬编码写死、资金拓扑图未绑定真实算子、发票客户列空白、CPA签章未透传至Excel/PDF导出）；② </w:t>
            </w:r>
            <w:r>
              <w:rPr>
                <w:rFonts w:ascii="Calibri" w:hAnsi="Calibri" w:eastAsia="微软雅黑"/>
                <w:b/>
                <w:i w:val="0"/>
                <w:color w:val="1E293B"/>
                <w:sz w:val="21"/>
              </w:rPr>
              <w:t>含税/不含税口径混淆导致盲测金额准确率偏低</w:t>
            </w:r>
            <w:r>
              <w:rPr>
                <w:rFonts w:ascii="Calibri" w:hAnsi="Calibri" w:eastAsia="微软雅黑"/>
                <w:b w:val="0"/>
                <w:i w:val="0"/>
                <w:color w:val="1E293B"/>
                <w:sz w:val="21"/>
              </w:rPr>
              <w:t xml:space="preserve">（离线仅 1/19、在线仅 5/19 满足 ≤1% 误差）；③ </w:t>
            </w:r>
            <w:r>
              <w:rPr>
                <w:rFonts w:ascii="Calibri" w:hAnsi="Calibri" w:eastAsia="微软雅黑"/>
                <w:b/>
                <w:i w:val="0"/>
                <w:color w:val="1E293B"/>
                <w:sz w:val="21"/>
              </w:rPr>
              <w:t>缺少审计重要性水平（Materiality）约束</w:t>
            </w:r>
            <w:r>
              <w:rPr>
                <w:rFonts w:ascii="Calibri" w:hAnsi="Calibri" w:eastAsia="微软雅黑"/>
                <w:b w:val="0"/>
                <w:i w:val="0"/>
                <w:color w:val="1E293B"/>
                <w:sz w:val="21"/>
              </w:rPr>
              <w:t xml:space="preserve">（导致在线模式在 4 家合规对照企业上 100% 出现误报）；④ </w:t>
            </w:r>
            <w:r>
              <w:rPr>
                <w:rFonts w:ascii="Calibri" w:hAnsi="Calibri" w:eastAsia="微软雅黑"/>
                <w:b/>
                <w:i w:val="0"/>
                <w:color w:val="1E293B"/>
                <w:sz w:val="21"/>
              </w:rPr>
              <w:t>主审计链路仍为单次固定流水线</w:t>
            </w:r>
            <w:r>
              <w:rPr>
                <w:rFonts w:ascii="Calibri" w:hAnsi="Calibri" w:eastAsia="微软雅黑"/>
                <w:b w:val="0"/>
                <w:i w:val="0"/>
                <w:color w:val="1E293B"/>
                <w:sz w:val="21"/>
              </w:rPr>
              <w:t>（缺乏多步自主靶向深潜与证据校验失败后的自动重推演修正闭环）。</w:t>
            </w:r>
          </w:p>
        </w:tc>
      </w:tr>
    </w:tbl>
    <w:p>
      <w:pPr>
        <w:spacing w:before="0" w:after="120"/>
      </w:pPr>
    </w:p>
    <w:p>
      <w:pPr>
        <w:keepNext/>
        <w:spacing w:before="320" w:after="120"/>
        <w:pBdr>
          <w:bottom w:val="single" w:sz="12" w:space="4" w:color="0F2C59"/>
        </w:pBdr>
      </w:pPr>
      <w:r>
        <w:rPr>
          <w:rFonts w:ascii="Calibri" w:hAnsi="Calibri" w:eastAsia="微软雅黑"/>
          <w:b/>
          <w:i w:val="0"/>
          <w:color w:val="0F2C59"/>
          <w:sz w:val="32"/>
        </w:rPr>
        <w:t>一、 2025–2026 全球会计与审计智能体前沿案例对标高于同侪</w:t>
      </w:r>
    </w:p>
    <w:p>
      <w:pPr>
        <w:spacing w:before="0" w:after="120" w:line="276" w:lineRule="auto"/>
      </w:pPr>
      <w:r>
        <w:rPr>
          <w:rFonts w:ascii="Calibri" w:hAnsi="Calibri" w:eastAsia="微软雅黑"/>
          <w:b w:val="0"/>
          <w:i w:val="0"/>
          <w:color w:val="1E293B"/>
          <w:sz w:val="22"/>
        </w:rPr>
        <w:t xml:space="preserve">2026 年全球财务与审计 AI 已从“辅助问答 Copilot”全面升级为“嵌入账套与内控环境的自主工作流智能体（Agentic Workflows）”（参见 </w:t>
      </w:r>
      <w:hyperlink r:id="rId11">
        <w:r>
          <w:rPr>
            <w:rFonts w:ascii="Calibri" w:hAnsi="Calibri" w:eastAsia="微软雅黑"/>
            <w:color w:val="1A56A0"/>
            <w:u w:val="single"/>
            <w:sz w:val="22"/>
            <w:szCs w:val="22"/>
          </w:rPr>
          <w:t>Rework 2026 财务智能体全景评测</w:t>
        </w:r>
      </w:hyperlink>
      <w:r>
        <w:rPr>
          <w:rFonts w:ascii="Calibri" w:hAnsi="Calibri" w:eastAsia="微软雅黑"/>
          <w:b w:val="0"/>
          <w:i w:val="0"/>
          <w:color w:val="1E293B"/>
          <w:sz w:val="22"/>
        </w:rPr>
        <w:t xml:space="preserve"> 与 </w:t>
      </w:r>
      <w:hyperlink r:id="rId12">
        <w:r>
          <w:rPr>
            <w:rFonts w:ascii="Calibri" w:hAnsi="Calibri" w:eastAsia="微软雅黑"/>
            <w:color w:val="1A56A0"/>
            <w:u w:val="single"/>
            <w:sz w:val="22"/>
            <w:szCs w:val="22"/>
          </w:rPr>
          <w:t>Dynamic Business 2026 会计智能体指南</w:t>
        </w:r>
      </w:hyperlink>
      <w:r>
        <w:rPr>
          <w:rFonts w:ascii="Calibri" w:hAnsi="Calibri" w:eastAsia="微软雅黑"/>
          <w:b w:val="0"/>
          <w:i w:val="0"/>
          <w:color w:val="1E293B"/>
          <w:sz w:val="22"/>
        </w:rPr>
        <w:t>）。真正的智能体必须具备“规划（Plan）—调用算子（Act）—核验结果（Observe）—在关键风险边界请求注会复核（Human-in-the-Loop）”的完整闭环。下表将你的项目与国内外 7 大最前沿标杆进行深度对标：</w:t>
      </w:r>
    </w:p>
    <w:tbl>
      <w:tblPr>
        <w:tblW w:type="auto" w:w="0"/>
        <w:jc w:val="center"/>
        <w:tblLayout w:type="fixed"/>
        <w:tblLook w:firstColumn="1" w:firstRow="1" w:lastColumn="0" w:lastRow="0" w:noHBand="0" w:noVBand="1" w:val="04A0"/>
        <w:tblBorders>
          <w:top w:val="single" w:sz="6" w:space="0" w:color="0F2C59"/>
          <w:left w:val="single" w:sz="4" w:space="0" w:color="CBD5E1"/>
          <w:bottom w:val="single" w:sz="8" w:space="0" w:color="0F2C59"/>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1800"/>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前沿标杆平台</w:t>
            </w:r>
          </w:p>
        </w:tc>
        <w:tc>
          <w:tcPr>
            <w:tcW w:type="dxa" w:w="2664"/>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核心应用场景与技术架构机制</w:t>
            </w:r>
          </w:p>
        </w:tc>
        <w:tc>
          <w:tcPr>
            <w:tcW w:type="dxa" w:w="2376"/>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本项目当前实现 (v2.2)</w:t>
            </w:r>
          </w:p>
        </w:tc>
        <w:tc>
          <w:tcPr>
            <w:tcW w:type="dxa" w:w="2520"/>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核心代差与改进切入点</w:t>
            </w:r>
          </w:p>
        </w:tc>
      </w:tr>
      <w:tr>
        <w:trPr>
          <w:cantSplit/>
        </w:trPr>
        <w:tc>
          <w:tcPr>
            <w:tcW w:type="dxa" w:w="1800"/>
            <w:vAlign w:val="top"/>
            <w:tcMar>
              <w:top w:w="80" w:type="dxa"/>
              <w:bottom w:w="80" w:type="dxa"/>
              <w:left w:w="100" w:type="dxa"/>
              <w:right w:w="100" w:type="dxa"/>
            </w:tcMar>
          </w:tcPr>
          <w:p>
            <w:pPr>
              <w:spacing w:before="20" w:after="40" w:line="269" w:lineRule="auto"/>
            </w:pPr>
            <w:hyperlink r:id="rId13">
              <w:r>
                <w:rPr>
                  <w:rFonts w:ascii="Calibri" w:hAnsi="Calibri" w:eastAsia="微软雅黑"/>
                  <w:color w:val="1A56A0"/>
                  <w:u w:val="single"/>
                  <w:sz w:val="20"/>
                  <w:szCs w:val="20"/>
                  <w:b/>
                </w:rPr>
                <w:t>Basis</w:t>
              </w:r>
            </w:hyperlink>
            <w:r>
              <w:rPr>
                <w:rFonts w:ascii="Calibri" w:hAnsi="Calibri" w:eastAsia="微软雅黑"/>
                <w:b w:val="0"/>
                <w:i w:val="0"/>
                <w:color w:val="1E293B"/>
                <w:sz w:val="20"/>
              </w:rPr>
              <w:t>（估值11.5亿美元，服务全美30%百强所）</w:t>
            </w:r>
          </w:p>
        </w:tc>
        <w:tc>
          <w:tcPr>
            <w:tcW w:type="dxa" w:w="2664"/>
            <w:vAlign w:val="top"/>
            <w:tcMar>
              <w:top w:w="80" w:type="dxa"/>
              <w:bottom w:w="80" w:type="dxa"/>
              <w:left w:w="100" w:type="dxa"/>
              <w:right w:w="100" w:type="dxa"/>
            </w:tcMar>
          </w:tcPr>
          <w:p>
            <w:pPr>
              <w:spacing w:before="20" w:after="40" w:line="269" w:lineRule="auto"/>
            </w:pPr>
            <w:r>
              <w:rPr>
                <w:rFonts w:ascii="Calibri" w:hAnsi="Calibri" w:eastAsia="微软雅黑"/>
                <w:b/>
                <w:i w:val="0"/>
                <w:color w:val="1E293B"/>
                <w:sz w:val="20"/>
              </w:rPr>
              <w:t>Supervisor + 专项 Sub-Agents 架构</w:t>
            </w:r>
            <w:r>
              <w:rPr>
                <w:rFonts w:ascii="Calibri" w:hAnsi="Calibri" w:eastAsia="微软雅黑"/>
                <w:b w:val="0"/>
                <w:i w:val="0"/>
                <w:color w:val="1E293B"/>
                <w:sz w:val="20"/>
              </w:rPr>
              <w:t>：主控 Agent 拆解审计与税务工作流，按复杂度动态路由快/慢模型，支持并行工具调用与长程后台执行（</w:t>
            </w:r>
            <w:hyperlink r:id="rId14">
              <w:r>
                <w:rPr>
                  <w:rFonts w:ascii="Calibri" w:hAnsi="Calibri" w:eastAsia="微软雅黑"/>
                  <w:color w:val="1A56A0"/>
                  <w:u w:val="single"/>
                  <w:sz w:val="20"/>
                  <w:szCs w:val="20"/>
                </w:rPr>
                <w:t>Cursor Basis 工程实践</w:t>
              </w:r>
            </w:hyperlink>
            <w:r>
              <w:rPr>
                <w:rFonts w:ascii="Calibri" w:hAnsi="Calibri" w:eastAsia="微软雅黑"/>
                <w:b w:val="0"/>
                <w:i w:val="0"/>
                <w:color w:val="1E293B"/>
                <w:sz w:val="20"/>
              </w:rPr>
              <w:t>）</w:t>
            </w:r>
          </w:p>
        </w:tc>
        <w:tc>
          <w:tcPr>
            <w:tcW w:type="dxa" w:w="2376"/>
            <w:vAlign w:val="top"/>
            <w:tcMar>
              <w:top w:w="80" w:type="dxa"/>
              <w:bottom w:w="80" w:type="dxa"/>
              <w:left w:w="100" w:type="dxa"/>
              <w:right w:w="100" w:type="dxa"/>
            </w:tcMar>
          </w:tcPr>
          <w:p>
            <w:pPr>
              <w:spacing w:before="20" w:after="40" w:line="269" w:lineRule="auto"/>
            </w:pPr>
            <w:r>
              <w:rPr>
                <w:rFonts w:ascii="Consolas" w:hAnsi="Consolas" w:eastAsia="微软雅黑"/>
                <w:b/>
                <w:i w:val="0"/>
                <w:color w:val="1A56A0"/>
                <w:sz w:val="20"/>
              </w:rPr>
              <w:t>harness.py</w:t>
            </w:r>
            <w:r>
              <w:rPr>
                <w:rFonts w:ascii="Calibri" w:hAnsi="Calibri" w:eastAsia="微软雅黑"/>
                <w:b w:val="0"/>
                <w:i w:val="0"/>
                <w:color w:val="1E293B"/>
                <w:sz w:val="20"/>
              </w:rPr>
              <w:t xml:space="preserve"> 的 </w:t>
            </w:r>
            <w:r>
              <w:rPr>
                <w:rFonts w:ascii="Consolas" w:hAnsi="Consolas" w:eastAsia="微软雅黑"/>
                <w:b/>
                <w:i w:val="0"/>
                <w:color w:val="1A56A0"/>
                <w:sz w:val="20"/>
              </w:rPr>
              <w:t>run_case()</w:t>
            </w:r>
            <w:r>
              <w:rPr>
                <w:rFonts w:ascii="Calibri" w:hAnsi="Calibri" w:eastAsia="微软雅黑"/>
                <w:b w:val="0"/>
                <w:i w:val="0"/>
                <w:color w:val="1E293B"/>
                <w:sz w:val="20"/>
              </w:rPr>
              <w:t xml:space="preserve"> 为单次固定流水线；</w:t>
            </w:r>
            <w:r>
              <w:rPr>
                <w:rFonts w:ascii="Consolas" w:hAnsi="Consolas" w:eastAsia="微软雅黑"/>
                <w:b/>
                <w:i w:val="0"/>
                <w:color w:val="1A56A0"/>
                <w:sz w:val="20"/>
              </w:rPr>
              <w:t>/api/agent/goal</w:t>
            </w:r>
            <w:r>
              <w:rPr>
                <w:rFonts w:ascii="Calibri" w:hAnsi="Calibri" w:eastAsia="微软雅黑"/>
                <w:b w:val="0"/>
                <w:i w:val="0"/>
                <w:color w:val="1E293B"/>
                <w:sz w:val="20"/>
              </w:rPr>
              <w:t xml:space="preserve"> 的 4 个阶段为静态硬编码数组</w:t>
            </w:r>
          </w:p>
        </w:tc>
        <w:tc>
          <w:tcPr>
            <w:tcW w:type="dxa" w:w="2520"/>
            <w:vAlign w:val="top"/>
            <w:tcMar>
              <w:top w:w="80" w:type="dxa"/>
              <w:bottom w:w="80" w:type="dxa"/>
              <w:left w:w="100" w:type="dxa"/>
              <w:right w:w="100" w:type="dxa"/>
            </w:tcMar>
          </w:tcPr>
          <w:p>
            <w:pPr>
              <w:spacing w:before="20" w:after="40" w:line="269" w:lineRule="auto"/>
            </w:pPr>
            <w:r>
              <w:rPr>
                <w:rFonts w:ascii="Calibri" w:hAnsi="Calibri" w:eastAsia="微软雅黑"/>
                <w:b w:val="0"/>
                <w:i w:val="0"/>
                <w:color w:val="1E293B"/>
                <w:sz w:val="20"/>
              </w:rPr>
              <w:t xml:space="preserve">升级为“初筛扫描 ➔ 靶向调用深潜算子 ➔ </w:t>
            </w:r>
            <w:r>
              <w:rPr>
                <w:rFonts w:ascii="Consolas" w:hAnsi="Consolas" w:eastAsia="微软雅黑"/>
                <w:b/>
                <w:i w:val="0"/>
                <w:color w:val="1A56A0"/>
                <w:sz w:val="20"/>
              </w:rPr>
              <w:t>ground_findings</w:t>
            </w:r>
            <w:r>
              <w:rPr>
                <w:rFonts w:ascii="Calibri" w:hAnsi="Calibri" w:eastAsia="微软雅黑"/>
                <w:b w:val="0"/>
                <w:i w:val="0"/>
                <w:color w:val="1E293B"/>
                <w:sz w:val="20"/>
              </w:rPr>
              <w:t xml:space="preserve"> 失败自动重推演”的真闭环 Agent，并实现 Flash/Pro 双模型动态路由</w:t>
            </w:r>
          </w:p>
        </w:tc>
      </w:tr>
      <w:tr>
        <w:trPr>
          <w:cantSplit/>
        </w:trPr>
        <w:tc>
          <w:tcPr>
            <w:tcW w:type="dxa" w:w="1800"/>
            <w:vAlign w:val="top"/>
            <w:tcMar>
              <w:top w:w="80" w:type="dxa"/>
              <w:bottom w:w="80" w:type="dxa"/>
              <w:left w:w="100" w:type="dxa"/>
              <w:right w:w="100" w:type="dxa"/>
            </w:tcMar>
            <w:shd w:fill="F4F6F9"/>
          </w:tcPr>
          <w:p>
            <w:pPr>
              <w:spacing w:before="20" w:after="40" w:line="269" w:lineRule="auto"/>
            </w:pPr>
            <w:hyperlink r:id="rId15">
              <w:r>
                <w:rPr>
                  <w:rFonts w:ascii="Calibri" w:hAnsi="Calibri" w:eastAsia="微软雅黑"/>
                  <w:color w:val="1A56A0"/>
                  <w:u w:val="single"/>
                  <w:sz w:val="20"/>
                  <w:szCs w:val="20"/>
                  <w:b/>
                </w:rPr>
                <w:t>Numeric</w:t>
              </w:r>
            </w:hyperlink>
            <w:r>
              <w:rPr>
                <w:rFonts w:ascii="Calibri" w:hAnsi="Calibri" w:eastAsia="微软雅黑"/>
                <w:b w:val="0"/>
                <w:i w:val="0"/>
                <w:color w:val="1E293B"/>
                <w:sz w:val="20"/>
              </w:rPr>
              <w:t>（AI关账与异动分析平台）</w:t>
            </w:r>
          </w:p>
        </w:tc>
        <w:tc>
          <w:tcPr>
            <w:tcW w:type="dxa" w:w="2664"/>
            <w:vAlign w:val="top"/>
            <w:tcMar>
              <w:top w:w="80" w:type="dxa"/>
              <w:bottom w:w="80" w:type="dxa"/>
              <w:left w:w="100" w:type="dxa"/>
              <w:right w:w="100" w:type="dxa"/>
            </w:tcMar>
            <w:shd w:fill="F4F6F9"/>
          </w:tcPr>
          <w:p>
            <w:pPr>
              <w:spacing w:before="20" w:after="40" w:line="269" w:lineRule="auto"/>
            </w:pPr>
            <w:r>
              <w:rPr>
                <w:rFonts w:ascii="Calibri" w:hAnsi="Calibri" w:eastAsia="微软雅黑"/>
                <w:b/>
                <w:i w:val="0"/>
                <w:color w:val="1E293B"/>
                <w:sz w:val="20"/>
              </w:rPr>
              <w:t>混合重要性阈值 + 异动归因（Flux Analysis）</w:t>
            </w:r>
            <w:r>
              <w:rPr>
                <w:rFonts w:ascii="Calibri" w:hAnsi="Calibri" w:eastAsia="微软雅黑"/>
                <w:b w:val="0"/>
                <w:i w:val="0"/>
                <w:color w:val="1E293B"/>
                <w:sz w:val="20"/>
              </w:rPr>
              <w:t>：设定“百分比触发 + 绝对金额下限（税前利润1% / 营收0.25%）”，捕捉“应变动而未变动”的呆滞科目（</w:t>
            </w:r>
            <w:hyperlink r:id="rId16">
              <w:r>
                <w:rPr>
                  <w:rFonts w:ascii="Calibri" w:hAnsi="Calibri" w:eastAsia="微软雅黑"/>
                  <w:color w:val="1A56A0"/>
                  <w:u w:val="single"/>
                  <w:sz w:val="20"/>
                  <w:szCs w:val="20"/>
                </w:rPr>
                <w:t>Numeric 对账指南</w:t>
              </w:r>
            </w:hyperlink>
            <w:r>
              <w:rPr>
                <w:rFonts w:ascii="Calibri" w:hAnsi="Calibri" w:eastAsia="微软雅黑"/>
                <w:b w:val="0"/>
                <w:i w:val="0"/>
                <w:color w:val="1E293B"/>
                <w:sz w:val="20"/>
              </w:rPr>
              <w:t>）</w:t>
            </w:r>
          </w:p>
        </w:tc>
        <w:tc>
          <w:tcPr>
            <w:tcW w:type="dxa" w:w="2376"/>
            <w:vAlign w:val="top"/>
            <w:tcMar>
              <w:top w:w="80" w:type="dxa"/>
              <w:bottom w:w="80" w:type="dxa"/>
              <w:left w:w="100" w:type="dxa"/>
              <w:right w:w="100" w:type="dxa"/>
            </w:tcMar>
            <w:shd w:fill="F4F6F9"/>
          </w:tcPr>
          <w:p>
            <w:pPr>
              <w:spacing w:before="20" w:after="40" w:line="269" w:lineRule="auto"/>
            </w:pPr>
            <w:r>
              <w:rPr>
                <w:rFonts w:ascii="Consolas" w:hAnsi="Consolas" w:eastAsia="微软雅黑"/>
                <w:b/>
                <w:i w:val="0"/>
                <w:color w:val="1A56A0"/>
                <w:sz w:val="20"/>
              </w:rPr>
              <w:t>tools.py</w:t>
            </w:r>
            <w:r>
              <w:rPr>
                <w:rFonts w:ascii="Calibri" w:hAnsi="Calibri" w:eastAsia="微软雅黑"/>
                <w:b w:val="0"/>
                <w:i w:val="0"/>
                <w:color w:val="1E293B"/>
                <w:sz w:val="20"/>
              </w:rPr>
              <w:t xml:space="preserve"> 仅写死 10 万元绝对值门槛，Prompt 中无企业规模相对重要性水平概念</w:t>
            </w:r>
          </w:p>
        </w:tc>
        <w:tc>
          <w:tcPr>
            <w:tcW w:type="dxa" w:w="2520"/>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引入 CSA 1221 审计重要性水平动态计算器注入 Prompt，彻底消除合规对照组日常小额费用（如海天广告费）误报</w:t>
            </w:r>
          </w:p>
        </w:tc>
      </w:tr>
      <w:tr>
        <w:trPr>
          <w:cantSplit/>
        </w:trPr>
        <w:tc>
          <w:tcPr>
            <w:tcW w:type="dxa" w:w="1800"/>
            <w:vAlign w:val="top"/>
            <w:tcMar>
              <w:top w:w="80" w:type="dxa"/>
              <w:bottom w:w="80" w:type="dxa"/>
              <w:left w:w="100" w:type="dxa"/>
              <w:right w:w="100" w:type="dxa"/>
            </w:tcMar>
          </w:tcPr>
          <w:p>
            <w:pPr>
              <w:spacing w:before="20" w:after="40" w:line="269" w:lineRule="auto"/>
            </w:pPr>
            <w:hyperlink r:id="rId17">
              <w:r>
                <w:rPr>
                  <w:rFonts w:ascii="Calibri" w:hAnsi="Calibri" w:eastAsia="微软雅黑"/>
                  <w:color w:val="1A56A0"/>
                  <w:u w:val="single"/>
                  <w:sz w:val="20"/>
                  <w:szCs w:val="20"/>
                  <w:b/>
                </w:rPr>
                <w:t>Trullion</w:t>
              </w:r>
            </w:hyperlink>
            <w:r>
              <w:rPr>
                <w:rFonts w:ascii="Calibri" w:hAnsi="Calibri" w:eastAsia="微软雅黑"/>
                <w:b w:val="0"/>
                <w:i w:val="0"/>
                <w:color w:val="1E293B"/>
                <w:sz w:val="20"/>
              </w:rPr>
              <w:t>（Auditable AI 审计平台）</w:t>
            </w:r>
          </w:p>
        </w:tc>
        <w:tc>
          <w:tcPr>
            <w:tcW w:type="dxa" w:w="2664"/>
            <w:vAlign w:val="top"/>
            <w:tcMar>
              <w:top w:w="80" w:type="dxa"/>
              <w:bottom w:w="80" w:type="dxa"/>
              <w:left w:w="100" w:type="dxa"/>
              <w:right w:w="100" w:type="dxa"/>
            </w:tcMar>
          </w:tcPr>
          <w:p>
            <w:pPr>
              <w:spacing w:before="20" w:after="40" w:line="269" w:lineRule="auto"/>
            </w:pPr>
            <w:r>
              <w:rPr>
                <w:rFonts w:ascii="Calibri" w:hAnsi="Calibri" w:eastAsia="微软雅黑"/>
                <w:b/>
                <w:i w:val="0"/>
                <w:color w:val="1E293B"/>
                <w:sz w:val="20"/>
              </w:rPr>
              <w:t>非结构化原件抽取 + 跨期报表一致性校验</w:t>
            </w:r>
            <w:r>
              <w:rPr>
                <w:rFonts w:ascii="Calibri" w:hAnsi="Calibri" w:eastAsia="微软雅黑"/>
                <w:b w:val="0"/>
                <w:i w:val="0"/>
                <w:color w:val="1E293B"/>
                <w:sz w:val="20"/>
              </w:rPr>
              <w:t>：从 PDF 合同（终验条款、质押条款）、扫描发票和回单中抽取字段并像素级锚定至底稿（</w:t>
            </w:r>
            <w:hyperlink r:id="rId18">
              <w:r>
                <w:rPr>
                  <w:rFonts w:ascii="Calibri" w:hAnsi="Calibri" w:eastAsia="微软雅黑"/>
                  <w:color w:val="1A56A0"/>
                  <w:u w:val="single"/>
                  <w:sz w:val="20"/>
                  <w:szCs w:val="20"/>
                </w:rPr>
                <w:t>Trullion 底稿指南</w:t>
              </w:r>
            </w:hyperlink>
            <w:r>
              <w:rPr>
                <w:rFonts w:ascii="Calibri" w:hAnsi="Calibri" w:eastAsia="微软雅黑"/>
                <w:b w:val="0"/>
                <w:i w:val="0"/>
                <w:color w:val="1E293B"/>
                <w:sz w:val="20"/>
              </w:rPr>
              <w:t>）</w:t>
            </w:r>
          </w:p>
        </w:tc>
        <w:tc>
          <w:tcPr>
            <w:tcW w:type="dxa" w:w="2376"/>
            <w:vAlign w:val="top"/>
            <w:tcMar>
              <w:top w:w="80" w:type="dxa"/>
              <w:bottom w:w="80" w:type="dxa"/>
              <w:left w:w="100" w:type="dxa"/>
              <w:right w:w="100" w:type="dxa"/>
            </w:tcMar>
          </w:tcPr>
          <w:p>
            <w:pPr>
              <w:spacing w:before="20" w:after="40" w:line="269" w:lineRule="auto"/>
            </w:pPr>
            <w:r>
              <w:rPr>
                <w:rFonts w:ascii="Consolas" w:hAnsi="Consolas" w:eastAsia="微软雅黑"/>
                <w:b/>
                <w:i w:val="0"/>
                <w:color w:val="1A56A0"/>
                <w:sz w:val="20"/>
              </w:rPr>
              <w:t>/api/upload</w:t>
            </w:r>
            <w:r>
              <w:rPr>
                <w:rFonts w:ascii="Calibri" w:hAnsi="Calibri" w:eastAsia="微软雅黑"/>
                <w:b w:val="0"/>
                <w:i w:val="0"/>
                <w:color w:val="1E293B"/>
                <w:sz w:val="20"/>
              </w:rPr>
              <w:t xml:space="preserve"> 仅支持结构化 Excel/CSV 凭证、发票、流水上传，</w:t>
            </w:r>
            <w:r>
              <w:rPr>
                <w:rFonts w:ascii="Calibri" w:hAnsi="Calibri" w:eastAsia="微软雅黑"/>
                <w:b/>
                <w:i w:val="0"/>
                <w:color w:val="B91C1C"/>
                <w:sz w:val="20"/>
              </w:rPr>
              <w:t>无合同上传入口</w:t>
            </w:r>
            <w:r>
              <w:rPr>
                <w:rFonts w:ascii="Calibri" w:hAnsi="Calibri" w:eastAsia="微软雅黑"/>
                <w:b w:val="0"/>
                <w:i w:val="0"/>
                <w:color w:val="1E293B"/>
                <w:sz w:val="20"/>
              </w:rPr>
              <w:t xml:space="preserve">（自定义案例 </w:t>
            </w:r>
            <w:r>
              <w:rPr>
                <w:rFonts w:ascii="Consolas" w:hAnsi="Consolas" w:eastAsia="微软雅黑"/>
                <w:b/>
                <w:i w:val="0"/>
                <w:color w:val="1A56A0"/>
                <w:sz w:val="20"/>
              </w:rPr>
              <w:t>contracts=[]</w:t>
            </w:r>
            <w:r>
              <w:rPr>
                <w:rFonts w:ascii="Calibri" w:hAnsi="Calibri" w:eastAsia="微软雅黑"/>
                <w:b w:val="0"/>
                <w:i w:val="0"/>
                <w:color w:val="1E293B"/>
                <w:sz w:val="20"/>
              </w:rPr>
              <w:t>）</w:t>
            </w:r>
          </w:p>
        </w:tc>
        <w:tc>
          <w:tcPr>
            <w:tcW w:type="dxa" w:w="2520"/>
            <w:vAlign w:val="top"/>
            <w:tcMar>
              <w:top w:w="80" w:type="dxa"/>
              <w:bottom w:w="80" w:type="dxa"/>
              <w:left w:w="100" w:type="dxa"/>
              <w:right w:w="100" w:type="dxa"/>
            </w:tcMar>
          </w:tcPr>
          <w:p>
            <w:pPr>
              <w:spacing w:before="20" w:after="40" w:line="269" w:lineRule="auto"/>
            </w:pPr>
            <w:r>
              <w:rPr>
                <w:rFonts w:ascii="Calibri" w:hAnsi="Calibri" w:eastAsia="微软雅黑"/>
                <w:b w:val="0"/>
                <w:i w:val="0"/>
                <w:color w:val="1E293B"/>
                <w:sz w:val="20"/>
              </w:rPr>
              <w:t>补齐第 4 类文件（业务合同 CSV/Excel/PDF）上传槽位，并解析合同中的控制权转移条款（终验/初验）与存单质押担保条款</w:t>
            </w:r>
          </w:p>
        </w:tc>
      </w:tr>
      <w:tr>
        <w:trPr>
          <w:cantSplit/>
        </w:trPr>
        <w:tc>
          <w:tcPr>
            <w:tcW w:type="dxa" w:w="1800"/>
            <w:vAlign w:val="top"/>
            <w:tcMar>
              <w:top w:w="80" w:type="dxa"/>
              <w:bottom w:w="80" w:type="dxa"/>
              <w:left w:w="100" w:type="dxa"/>
              <w:right w:w="100" w:type="dxa"/>
            </w:tcMar>
            <w:shd w:fill="F4F6F9"/>
          </w:tcPr>
          <w:p>
            <w:pPr>
              <w:spacing w:before="20" w:after="40" w:line="269" w:lineRule="auto"/>
            </w:pPr>
            <w:hyperlink r:id="rId19">
              <w:r>
                <w:rPr>
                  <w:rFonts w:ascii="Calibri" w:hAnsi="Calibri" w:eastAsia="微软雅黑"/>
                  <w:color w:val="1A56A0"/>
                  <w:u w:val="single"/>
                  <w:sz w:val="20"/>
                  <w:szCs w:val="20"/>
                  <w:b/>
                </w:rPr>
                <w:t>KPMG Clara AI</w:t>
              </w:r>
            </w:hyperlink>
            <w:r>
              <w:rPr>
                <w:rFonts w:ascii="Calibri" w:hAnsi="Calibri" w:eastAsia="微软雅黑"/>
                <w:b w:val="0"/>
                <w:i w:val="0"/>
                <w:color w:val="1E293B"/>
                <w:sz w:val="20"/>
              </w:rPr>
              <w:t>（毕马威智能审计平台）</w:t>
            </w:r>
          </w:p>
        </w:tc>
        <w:tc>
          <w:tcPr>
            <w:tcW w:type="dxa" w:w="2664"/>
            <w:vAlign w:val="top"/>
            <w:tcMar>
              <w:top w:w="80" w:type="dxa"/>
              <w:bottom w:w="80" w:type="dxa"/>
              <w:left w:w="100" w:type="dxa"/>
              <w:right w:w="100" w:type="dxa"/>
            </w:tcMar>
            <w:shd w:fill="F4F6F9"/>
          </w:tcPr>
          <w:p>
            <w:pPr>
              <w:spacing w:before="20" w:after="40" w:line="269" w:lineRule="auto"/>
            </w:pPr>
            <w:r>
              <w:rPr>
                <w:rFonts w:ascii="Calibri" w:hAnsi="Calibri" w:eastAsia="微软雅黑"/>
                <w:b/>
                <w:i w:val="0"/>
                <w:color w:val="1E293B"/>
                <w:sz w:val="20"/>
              </w:rPr>
              <w:t>实质性程序专项 Agent</w:t>
            </w:r>
            <w:r>
              <w:rPr>
                <w:rFonts w:ascii="Calibri" w:hAnsi="Calibri" w:eastAsia="微软雅黑"/>
                <w:b w:val="0"/>
                <w:i w:val="0"/>
                <w:color w:val="1E293B"/>
                <w:sz w:val="20"/>
              </w:rPr>
              <w:t>：内置费用抽凭、</w:t>
            </w:r>
            <w:r>
              <w:rPr>
                <w:rFonts w:ascii="Calibri" w:hAnsi="Calibri" w:eastAsia="微软雅黑"/>
                <w:b/>
                <w:i w:val="0"/>
                <w:color w:val="1E293B"/>
                <w:sz w:val="20"/>
              </w:rPr>
              <w:t>未入账负债排查（检查期后付款与跨期发票）</w:t>
            </w:r>
            <w:r>
              <w:rPr>
                <w:rFonts w:ascii="Calibri" w:hAnsi="Calibri" w:eastAsia="微软雅黑"/>
                <w:b w:val="0"/>
                <w:i w:val="0"/>
                <w:color w:val="1E293B"/>
                <w:sz w:val="20"/>
              </w:rPr>
              <w:t>及财报附注披露核对表（FRA Engine）</w:t>
            </w:r>
          </w:p>
        </w:tc>
        <w:tc>
          <w:tcPr>
            <w:tcW w:type="dxa" w:w="2376"/>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仅检查单期内“凭证日期早于发票日期”，未分析资产负债表日后（次年1–3月）银行付款流水</w:t>
            </w:r>
          </w:p>
        </w:tc>
        <w:tc>
          <w:tcPr>
            <w:tcW w:type="dxa" w:w="2520"/>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 xml:space="preserve">新增期后流水穿透算子，通过次年支付工程安装分包款反证上年末提前确认收入（直接命中盲测集 </w:t>
            </w:r>
            <w:r>
              <w:rPr>
                <w:rFonts w:ascii="Consolas" w:hAnsi="Consolas" w:eastAsia="微软雅黑"/>
                <w:b/>
                <w:i w:val="0"/>
                <w:color w:val="1A56A0"/>
                <w:sz w:val="20"/>
              </w:rPr>
              <w:t>BLIND_010</w:t>
            </w:r>
            <w:r>
              <w:rPr>
                <w:rFonts w:ascii="Calibri" w:hAnsi="Calibri" w:eastAsia="微软雅黑"/>
                <w:b w:val="0"/>
                <w:i w:val="0"/>
                <w:color w:val="1E293B"/>
                <w:sz w:val="20"/>
              </w:rPr>
              <w:t xml:space="preserve"> 罗普特）</w:t>
            </w:r>
          </w:p>
        </w:tc>
      </w:tr>
      <w:tr>
        <w:trPr>
          <w:cantSplit/>
        </w:trPr>
        <w:tc>
          <w:tcPr>
            <w:tcW w:type="dxa" w:w="1800"/>
            <w:vAlign w:val="top"/>
            <w:tcMar>
              <w:top w:w="80" w:type="dxa"/>
              <w:bottom w:w="80" w:type="dxa"/>
              <w:left w:w="100" w:type="dxa"/>
              <w:right w:w="100" w:type="dxa"/>
            </w:tcMar>
          </w:tcPr>
          <w:p>
            <w:pPr>
              <w:spacing w:before="20" w:after="40" w:line="269" w:lineRule="auto"/>
            </w:pPr>
            <w:hyperlink r:id="rId20">
              <w:r>
                <w:rPr>
                  <w:rFonts w:ascii="Calibri" w:hAnsi="Calibri" w:eastAsia="微软雅黑"/>
                  <w:color w:val="1A56A0"/>
                  <w:u w:val="single"/>
                  <w:sz w:val="20"/>
                  <w:szCs w:val="20"/>
                  <w:b/>
                </w:rPr>
                <w:t>MindBridge AI</w:t>
              </w:r>
            </w:hyperlink>
            <w:r>
              <w:rPr>
                <w:rFonts w:ascii="Calibri" w:hAnsi="Calibri" w:eastAsia="微软雅黑"/>
                <w:b w:val="0"/>
                <w:i w:val="0"/>
                <w:color w:val="1E293B"/>
                <w:sz w:val="20"/>
              </w:rPr>
              <w:t>（全量总账异常检测标杆）</w:t>
            </w:r>
          </w:p>
        </w:tc>
        <w:tc>
          <w:tcPr>
            <w:tcW w:type="dxa" w:w="2664"/>
            <w:vAlign w:val="top"/>
            <w:tcMar>
              <w:top w:w="80" w:type="dxa"/>
              <w:bottom w:w="80" w:type="dxa"/>
              <w:left w:w="100" w:type="dxa"/>
              <w:right w:w="100" w:type="dxa"/>
            </w:tcMar>
          </w:tcPr>
          <w:p>
            <w:pPr>
              <w:spacing w:before="20" w:after="40" w:line="269" w:lineRule="auto"/>
            </w:pPr>
            <w:r>
              <w:rPr>
                <w:rFonts w:ascii="Calibri" w:hAnsi="Calibri" w:eastAsia="微软雅黑"/>
                <w:b/>
                <w:i w:val="0"/>
                <w:color w:val="1E293B"/>
                <w:sz w:val="20"/>
              </w:rPr>
              <w:t>Ensemble AI 全量分录评分</w:t>
            </w:r>
            <w:r>
              <w:rPr>
                <w:rFonts w:ascii="Calibri" w:hAnsi="Calibri" w:eastAsia="微软雅黑"/>
                <w:b w:val="0"/>
                <w:i w:val="0"/>
                <w:color w:val="1E293B"/>
                <w:sz w:val="20"/>
              </w:rPr>
              <w:t>：融合统计分布（Benford、Z-Score）、规则与罕见借贷科目组合检测（</w:t>
            </w:r>
            <w:hyperlink r:id="rId21">
              <w:r>
                <w:rPr>
                  <w:rFonts w:ascii="Calibri" w:hAnsi="Calibri" w:eastAsia="微软雅黑"/>
                  <w:color w:val="1A56A0"/>
                  <w:u w:val="single"/>
                  <w:sz w:val="20"/>
                  <w:szCs w:val="20"/>
                </w:rPr>
                <w:t>MacrosLM 审计工具评测</w:t>
              </w:r>
            </w:hyperlink>
            <w:r>
              <w:rPr>
                <w:rFonts w:ascii="Calibri" w:hAnsi="Calibri" w:eastAsia="微软雅黑"/>
                <w:b w:val="0"/>
                <w:i w:val="0"/>
                <w:color w:val="1E293B"/>
                <w:sz w:val="20"/>
              </w:rPr>
              <w:t>）</w:t>
            </w:r>
          </w:p>
        </w:tc>
        <w:tc>
          <w:tcPr>
            <w:tcW w:type="dxa" w:w="2376"/>
            <w:vAlign w:val="top"/>
            <w:tcMar>
              <w:top w:w="80" w:type="dxa"/>
              <w:bottom w:w="80" w:type="dxa"/>
              <w:left w:w="100" w:type="dxa"/>
              <w:right w:w="100" w:type="dxa"/>
            </w:tcMar>
          </w:tcPr>
          <w:p>
            <w:pPr>
              <w:spacing w:before="20" w:after="40" w:line="269" w:lineRule="auto"/>
            </w:pPr>
            <w:r>
              <w:rPr>
                <w:rFonts w:ascii="Consolas" w:hAnsi="Consolas" w:eastAsia="微软雅黑"/>
                <w:b/>
                <w:i w:val="0"/>
                <w:color w:val="1A56A0"/>
                <w:sz w:val="20"/>
              </w:rPr>
              <w:t>analytics.py</w:t>
            </w:r>
            <w:r>
              <w:rPr>
                <w:rFonts w:ascii="Calibri" w:hAnsi="Calibri" w:eastAsia="微软雅黑"/>
                <w:b w:val="0"/>
                <w:i w:val="0"/>
                <w:color w:val="1E293B"/>
                <w:sz w:val="20"/>
              </w:rPr>
              <w:t xml:space="preserve"> 实现 </w:t>
            </w:r>
            <w:r>
              <w:rPr>
                <w:rFonts w:ascii="Consolas" w:hAnsi="Consolas" w:eastAsia="微软雅黑"/>
                <w:b/>
                <w:i w:val="0"/>
                <w:color w:val="1A56A0"/>
                <w:sz w:val="20"/>
              </w:rPr>
              <w:t>JE01–JE10</w:t>
            </w:r>
            <w:r>
              <w:rPr>
                <w:rFonts w:ascii="Calibri" w:hAnsi="Calibri" w:eastAsia="微软雅黑"/>
                <w:b w:val="0"/>
                <w:i w:val="0"/>
                <w:color w:val="1E293B"/>
                <w:sz w:val="20"/>
              </w:rPr>
              <w:t xml:space="preserve"> 共 10 条静态规则加权打分与 Benford 首位数字检验</w:t>
            </w:r>
          </w:p>
        </w:tc>
        <w:tc>
          <w:tcPr>
            <w:tcW w:type="dxa" w:w="2520"/>
            <w:vAlign w:val="top"/>
            <w:tcMar>
              <w:top w:w="80" w:type="dxa"/>
              <w:bottom w:w="80" w:type="dxa"/>
              <w:left w:w="100" w:type="dxa"/>
              <w:right w:w="100" w:type="dxa"/>
            </w:tcMar>
          </w:tcPr>
          <w:p>
            <w:pPr>
              <w:spacing w:before="20" w:after="40" w:line="269" w:lineRule="auto"/>
            </w:pPr>
            <w:r>
              <w:rPr>
                <w:rFonts w:ascii="Calibri" w:hAnsi="Calibri" w:eastAsia="微软雅黑"/>
                <w:b w:val="0"/>
                <w:i w:val="0"/>
                <w:color w:val="1E293B"/>
                <w:sz w:val="20"/>
              </w:rPr>
              <w:t>扩充“异常借贷科目配对拓扑”（如借记固定资产/存货、同日关联方资金回流，或已确认收入但发出商品长期挂账不结转成本）</w:t>
            </w:r>
          </w:p>
        </w:tc>
      </w:tr>
      <w:tr>
        <w:trPr>
          <w:cantSplit/>
        </w:trPr>
        <w:tc>
          <w:tcPr>
            <w:tcW w:type="dxa" w:w="1800"/>
            <w:vAlign w:val="top"/>
            <w:tcMar>
              <w:top w:w="80" w:type="dxa"/>
              <w:bottom w:w="80" w:type="dxa"/>
              <w:left w:w="100" w:type="dxa"/>
              <w:right w:w="100" w:type="dxa"/>
            </w:tcMar>
            <w:shd w:fill="F4F6F9"/>
          </w:tcPr>
          <w:p>
            <w:pPr>
              <w:spacing w:before="20" w:after="40" w:line="269" w:lineRule="auto"/>
            </w:pPr>
            <w:hyperlink r:id="rId11">
              <w:r>
                <w:rPr>
                  <w:rFonts w:ascii="Calibri" w:hAnsi="Calibri" w:eastAsia="微软雅黑"/>
                  <w:color w:val="1A56A0"/>
                  <w:u w:val="single"/>
                  <w:sz w:val="20"/>
                  <w:szCs w:val="20"/>
                  <w:b/>
                </w:rPr>
                <w:t>Campfire</w:t>
              </w:r>
            </w:hyperlink>
            <w:r>
              <w:rPr>
                <w:rFonts w:ascii="Calibri" w:hAnsi="Calibri" w:eastAsia="微软雅黑"/>
                <w:b w:val="0"/>
                <w:i w:val="0"/>
                <w:color w:val="1E293B"/>
                <w:sz w:val="20"/>
              </w:rPr>
              <w:t xml:space="preserve"> &amp; </w:t>
            </w:r>
            <w:hyperlink r:id="rId12">
              <w:r>
                <w:rPr>
                  <w:rFonts w:ascii="Calibri" w:hAnsi="Calibri" w:eastAsia="微软雅黑"/>
                  <w:color w:val="1A56A0"/>
                  <w:u w:val="single"/>
                  <w:sz w:val="20"/>
                  <w:szCs w:val="20"/>
                  <w:b/>
                </w:rPr>
                <w:t>Vic.ai</w:t>
              </w:r>
            </w:hyperlink>
          </w:p>
        </w:tc>
        <w:tc>
          <w:tcPr>
            <w:tcW w:type="dxa" w:w="2664"/>
            <w:vAlign w:val="top"/>
            <w:tcMar>
              <w:top w:w="80" w:type="dxa"/>
              <w:bottom w:w="80" w:type="dxa"/>
              <w:left w:w="100" w:type="dxa"/>
              <w:right w:w="100" w:type="dxa"/>
            </w:tcMar>
            <w:shd w:fill="F4F6F9"/>
          </w:tcPr>
          <w:p>
            <w:pPr>
              <w:spacing w:before="20" w:after="40" w:line="269" w:lineRule="auto"/>
            </w:pPr>
            <w:r>
              <w:rPr>
                <w:rFonts w:ascii="Calibri" w:hAnsi="Calibri" w:eastAsia="微软雅黑"/>
                <w:b/>
                <w:i w:val="0"/>
                <w:color w:val="1E293B"/>
                <w:sz w:val="20"/>
              </w:rPr>
              <w:t>置信度分层路由 + 自动草拟审计调整分录（AJE）</w:t>
            </w:r>
            <w:r>
              <w:rPr>
                <w:rFonts w:ascii="Calibri" w:hAnsi="Calibri" w:eastAsia="微软雅黑"/>
                <w:b w:val="0"/>
                <w:i w:val="0"/>
                <w:color w:val="1E293B"/>
                <w:sz w:val="20"/>
              </w:rPr>
              <w:t>：按置信度分流复核，自动生成借贷平衡的冲销/调整分录并更新试算平衡表</w:t>
            </w:r>
          </w:p>
        </w:tc>
        <w:tc>
          <w:tcPr>
            <w:tcW w:type="dxa" w:w="2376"/>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 xml:space="preserve">底稿仅展示 </w:t>
            </w:r>
            <w:r>
              <w:rPr>
                <w:rFonts w:ascii="Consolas" w:hAnsi="Consolas" w:eastAsia="微软雅黑"/>
                <w:b/>
                <w:i w:val="0"/>
                <w:color w:val="1A56A0"/>
                <w:sz w:val="20"/>
              </w:rPr>
              <w:t>账面金额 / 审定金额(设为0) / 差异金额</w:t>
            </w:r>
            <w:r>
              <w:rPr>
                <w:rFonts w:ascii="Calibri" w:hAnsi="Calibri" w:eastAsia="微软雅黑"/>
                <w:b w:val="0"/>
                <w:i w:val="0"/>
                <w:color w:val="1E293B"/>
                <w:sz w:val="20"/>
              </w:rPr>
              <w:t>，未生成标准借贷方调整分录</w:t>
            </w:r>
          </w:p>
        </w:tc>
        <w:tc>
          <w:tcPr>
            <w:tcW w:type="dxa" w:w="2520"/>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在底稿页新增“拟定审计调整分录（AJE）自动编制”及“审定前后核心财务指标冲击对比表”</w:t>
            </w:r>
          </w:p>
        </w:tc>
      </w:tr>
      <w:tr>
        <w:trPr>
          <w:cantSplit/>
        </w:trPr>
        <w:tc>
          <w:tcPr>
            <w:tcW w:type="dxa" w:w="1800"/>
            <w:vAlign w:val="top"/>
            <w:tcMar>
              <w:top w:w="80" w:type="dxa"/>
              <w:bottom w:w="80" w:type="dxa"/>
              <w:left w:w="100" w:type="dxa"/>
              <w:right w:w="100" w:type="dxa"/>
            </w:tcMar>
          </w:tcPr>
          <w:p>
            <w:pPr>
              <w:spacing w:before="20" w:after="40" w:line="269" w:lineRule="auto"/>
            </w:pPr>
            <w:hyperlink r:id="rId22">
              <w:r>
                <w:rPr>
                  <w:rFonts w:ascii="Calibri" w:hAnsi="Calibri" w:eastAsia="微软雅黑"/>
                  <w:color w:val="1A56A0"/>
                  <w:u w:val="single"/>
                  <w:sz w:val="20"/>
                  <w:szCs w:val="20"/>
                  <w:b/>
                </w:rPr>
                <w:t>金蝶云·星空/灵基</w:t>
              </w:r>
            </w:hyperlink>
            <w:r>
              <w:rPr>
                <w:rFonts w:ascii="Calibri" w:hAnsi="Calibri" w:eastAsia="微软雅黑"/>
                <w:b w:val="0"/>
                <w:i w:val="0"/>
                <w:color w:val="1E293B"/>
                <w:sz w:val="20"/>
              </w:rPr>
              <w:t xml:space="preserve"> &amp; </w:t>
            </w:r>
            <w:hyperlink r:id="rId23">
              <w:r>
                <w:rPr>
                  <w:rFonts w:ascii="Calibri" w:hAnsi="Calibri" w:eastAsia="微软雅黑"/>
                  <w:color w:val="1A56A0"/>
                  <w:u w:val="single"/>
                  <w:sz w:val="20"/>
                  <w:szCs w:val="20"/>
                  <w:b/>
                </w:rPr>
                <w:t>中注协2026指引</w:t>
              </w:r>
            </w:hyperlink>
          </w:p>
        </w:tc>
        <w:tc>
          <w:tcPr>
            <w:tcW w:type="dxa" w:w="2664"/>
            <w:vAlign w:val="top"/>
            <w:tcMar>
              <w:top w:w="80" w:type="dxa"/>
              <w:bottom w:w="80" w:type="dxa"/>
              <w:left w:w="100" w:type="dxa"/>
              <w:right w:w="100" w:type="dxa"/>
            </w:tcMar>
          </w:tcPr>
          <w:p>
            <w:pPr>
              <w:spacing w:before="20" w:after="40" w:line="269" w:lineRule="auto"/>
            </w:pPr>
            <w:r>
              <w:rPr>
                <w:rFonts w:ascii="Calibri" w:hAnsi="Calibri" w:eastAsia="微软雅黑"/>
                <w:b/>
                <w:i w:val="0"/>
                <w:color w:val="1E293B"/>
                <w:sz w:val="20"/>
              </w:rPr>
              <w:t>毛利多维归因 + 同业分位对标 + CSA 1131 留痕</w:t>
            </w:r>
            <w:r>
              <w:rPr>
                <w:rFonts w:ascii="Calibri" w:hAnsi="Calibri" w:eastAsia="微软雅黑"/>
                <w:b w:val="0"/>
                <w:i w:val="0"/>
                <w:color w:val="1E293B"/>
                <w:sz w:val="20"/>
              </w:rPr>
              <w:t>：金蝶将毛利拆解并对比 5,300+ 上市公司；中注协要求按 CSA 1131 完整记录 AI 工具参数与采纳过程</w:t>
            </w:r>
          </w:p>
        </w:tc>
        <w:tc>
          <w:tcPr>
            <w:tcW w:type="dxa" w:w="2376"/>
            <w:vAlign w:val="top"/>
            <w:tcMar>
              <w:top w:w="80" w:type="dxa"/>
              <w:bottom w:w="80" w:type="dxa"/>
              <w:left w:w="100" w:type="dxa"/>
              <w:right w:w="100" w:type="dxa"/>
            </w:tcMar>
          </w:tcPr>
          <w:p>
            <w:pPr>
              <w:spacing w:before="20" w:after="40" w:line="269" w:lineRule="auto"/>
            </w:pPr>
            <w:r>
              <w:rPr>
                <w:rFonts w:ascii="Consolas" w:hAnsi="Consolas" w:eastAsia="微软雅黑"/>
                <w:b/>
                <w:i w:val="0"/>
                <w:color w:val="1A56A0"/>
                <w:sz w:val="20"/>
              </w:rPr>
              <w:t>cost_analysis_plugin</w:t>
            </w:r>
            <w:r>
              <w:rPr>
                <w:rFonts w:ascii="Calibri" w:hAnsi="Calibri" w:eastAsia="微软雅黑"/>
                <w:b w:val="0"/>
                <w:i w:val="0"/>
                <w:color w:val="1E293B"/>
                <w:sz w:val="20"/>
              </w:rPr>
              <w:t xml:space="preserve"> 在前端无入口；导出底稿缺少 AI 工具参数与采纳复核记录专表</w:t>
            </w:r>
          </w:p>
        </w:tc>
        <w:tc>
          <w:tcPr>
            <w:tcW w:type="dxa" w:w="2520"/>
            <w:vAlign w:val="top"/>
            <w:tcMar>
              <w:top w:w="80" w:type="dxa"/>
              <w:bottom w:w="80" w:type="dxa"/>
              <w:left w:w="100" w:type="dxa"/>
              <w:right w:w="100" w:type="dxa"/>
            </w:tcMar>
          </w:tcPr>
          <w:p>
            <w:pPr>
              <w:spacing w:before="20" w:after="40" w:line="269" w:lineRule="auto"/>
            </w:pPr>
            <w:r>
              <w:rPr>
                <w:rFonts w:ascii="Calibri" w:hAnsi="Calibri" w:eastAsia="微软雅黑"/>
                <w:b w:val="0"/>
                <w:i w:val="0"/>
                <w:color w:val="1E293B"/>
                <w:sz w:val="20"/>
              </w:rPr>
              <w:t>将管理会计毛利/CVP指标嵌入审计风险初筛看板，并在导出 Excel 底稿中新增《CSA 1131 AI 辅助审计过程记录专表》</w:t>
            </w:r>
          </w:p>
        </w:tc>
      </w:tr>
    </w:tbl>
    <w:p>
      <w:pPr>
        <w:spacing w:before="0" w:after="120"/>
      </w:pPr>
    </w:p>
    <w:p>
      <w:pPr>
        <w:keepNext/>
        <w:spacing w:before="320" w:after="120"/>
        <w:pBdr>
          <w:bottom w:val="single" w:sz="12" w:space="4" w:color="0F2C59"/>
        </w:pBdr>
      </w:pPr>
      <w:r>
        <w:rPr>
          <w:rFonts w:ascii="Calibri" w:hAnsi="Calibri" w:eastAsia="微软雅黑"/>
          <w:b/>
          <w:i w:val="0"/>
          <w:color w:val="0F2C59"/>
          <w:sz w:val="32"/>
        </w:rPr>
        <w:t>二、 前后端工程缺陷与代码级修复方案（P0 级赛前必改）</w:t>
      </w:r>
    </w:p>
    <w:p>
      <w:pPr>
        <w:spacing w:before="0" w:after="120" w:line="276" w:lineRule="auto"/>
      </w:pPr>
      <w:r>
        <w:rPr>
          <w:rFonts w:ascii="Calibri" w:hAnsi="Calibri" w:eastAsia="微软雅黑"/>
          <w:b w:val="0"/>
          <w:i w:val="0"/>
          <w:color w:val="1E293B"/>
          <w:sz w:val="22"/>
        </w:rPr>
        <w:t xml:space="preserve">在决赛现场演示与评委自由点按环节，前后端数据断层或写死假数据是最致命的失分项。通过对 </w:t>
      </w:r>
      <w:r>
        <w:rPr>
          <w:rFonts w:ascii="Consolas" w:hAnsi="Consolas" w:eastAsia="微软雅黑"/>
          <w:b/>
          <w:i w:val="0"/>
          <w:color w:val="1A56A0"/>
          <w:sz w:val="22"/>
        </w:rPr>
        <w:t>frontend/src/</w:t>
      </w:r>
      <w:r>
        <w:rPr>
          <w:rFonts w:ascii="Calibri" w:hAnsi="Calibri" w:eastAsia="微软雅黑"/>
          <w:b w:val="0"/>
          <w:i w:val="0"/>
          <w:color w:val="1E293B"/>
          <w:sz w:val="22"/>
        </w:rPr>
        <w:t xml:space="preserve"> 与 </w:t>
      </w:r>
      <w:r>
        <w:rPr>
          <w:rFonts w:ascii="Consolas" w:hAnsi="Consolas" w:eastAsia="微软雅黑"/>
          <w:b/>
          <w:i w:val="0"/>
          <w:color w:val="1A56A0"/>
          <w:sz w:val="22"/>
        </w:rPr>
        <w:t>src/api/server.py</w:t>
      </w:r>
      <w:r>
        <w:rPr>
          <w:rFonts w:ascii="Calibri" w:hAnsi="Calibri" w:eastAsia="微软雅黑"/>
          <w:b w:val="0"/>
          <w:i w:val="0"/>
          <w:color w:val="1E293B"/>
          <w:sz w:val="22"/>
        </w:rPr>
        <w:t xml:space="preserve"> 的逐行排查，定位出以下 5 处必须立即修复的工程问题：</w:t>
      </w:r>
    </w:p>
    <w:tbl>
      <w:tblPr>
        <w:tblW w:type="auto" w:w="0"/>
        <w:jc w:val="center"/>
        <w:tblLook w:firstColumn="1" w:firstRow="1" w:lastColumn="0" w:lastRow="0" w:noHBand="0" w:noVBand="1" w:val="04A0"/>
      </w:tblPr>
      <w:tblGrid>
        <w:gridCol w:w="9360"/>
      </w:tblGrid>
      <w:tr>
        <w:trPr>
          <w:cantSplit/>
        </w:trPr>
        <w:tc>
          <w:tcPr>
            <w:tcW w:type="dxa" w:w="9360"/>
            <w:tcMar>
              <w:top w:w="140" w:type="dxa"/>
              <w:bottom w:w="140" w:type="dxa"/>
              <w:left w:w="180" w:type="dxa"/>
              <w:right w:w="160" w:type="dxa"/>
            </w:tcMar>
            <w:shd w:fill="FEF2F2"/>
            <w:tcBorders>
              <w:top w:val="single" w:sz="4" w:space="0" w:color="E2E8F0"/>
              <w:left w:val="single" w:sz="24" w:space="0" w:color="B91C1C"/>
              <w:bottom w:val="single" w:sz="4" w:space="0" w:color="E2E8F0"/>
              <w:right w:val="single" w:sz="4" w:space="0" w:color="E2E8F0"/>
            </w:tcBorders>
          </w:tcPr>
          <w:p>
            <w:pPr>
              <w:spacing w:before="0" w:after="80" w:line="276" w:lineRule="auto"/>
            </w:pPr>
            <w:r>
              <w:rPr>
                <w:rFonts w:ascii="Calibri" w:hAnsi="Calibri" w:eastAsia="微软雅黑"/>
                <w:b/>
                <w:i w:val="0"/>
                <w:color w:val="B91C1C"/>
                <w:sz w:val="22"/>
              </w:rPr>
              <w:t>答辩高危预警：28案例竞技场（BenchmarkArena.tsx）与资金拓扑图（FundTopologyGraph.tsx）存在静态假数据</w:t>
            </w:r>
          </w:p>
          <w:p>
            <w:pPr>
              <w:spacing w:before="0" w:after="80" w:line="276" w:lineRule="auto"/>
            </w:pPr>
            <w:r>
              <w:rPr>
                <w:rFonts w:ascii="Calibri" w:hAnsi="Calibri" w:eastAsia="微软雅黑"/>
                <w:b/>
                <w:i w:val="0"/>
                <w:color w:val="B91C1C"/>
                <w:sz w:val="21"/>
              </w:rPr>
              <w:t>1. 竞技场表格硬编码（BenchmarkArena.tsx 第137–150行）：</w:t>
            </w:r>
            <w:r>
              <w:rPr>
                <w:rFonts w:ascii="Calibri" w:hAnsi="Calibri" w:eastAsia="微软雅黑"/>
                <w:b w:val="0"/>
                <w:i w:val="0"/>
                <w:color w:val="1E293B"/>
                <w:sz w:val="21"/>
              </w:rPr>
              <w:t xml:space="preserve">表格遍历 </w:t>
            </w:r>
            <w:r>
              <w:rPr>
                <w:rFonts w:ascii="Consolas" w:hAnsi="Consolas" w:eastAsia="微软雅黑"/>
                <w:b/>
                <w:i w:val="0"/>
                <w:color w:val="1A56A0"/>
                <w:sz w:val="21"/>
              </w:rPr>
              <w:t>cases.map()</w:t>
            </w:r>
            <w:r>
              <w:rPr>
                <w:rFonts w:ascii="Calibri" w:hAnsi="Calibri" w:eastAsia="微软雅黑"/>
                <w:b w:val="0"/>
                <w:i w:val="0"/>
                <w:color w:val="1E293B"/>
                <w:sz w:val="21"/>
              </w:rPr>
              <w:t xml:space="preserve"> 时完全未读取后端 </w:t>
            </w:r>
            <w:r>
              <w:rPr>
                <w:rFonts w:ascii="Consolas" w:hAnsi="Consolas" w:eastAsia="微软雅黑"/>
                <w:b/>
                <w:i w:val="0"/>
                <w:color w:val="1A56A0"/>
                <w:sz w:val="21"/>
              </w:rPr>
              <w:t>/api/benchmark/run</w:t>
            </w:r>
            <w:r>
              <w:rPr>
                <w:rFonts w:ascii="Calibri" w:hAnsi="Calibri" w:eastAsia="微软雅黑"/>
                <w:b w:val="0"/>
                <w:i w:val="0"/>
                <w:color w:val="1E293B"/>
                <w:sz w:val="21"/>
              </w:rPr>
              <w:t xml:space="preserve"> 返回的 </w:t>
            </w:r>
            <w:r>
              <w:rPr>
                <w:rFonts w:ascii="Consolas" w:hAnsi="Consolas" w:eastAsia="微软雅黑"/>
                <w:b/>
                <w:i w:val="0"/>
                <w:color w:val="1A56A0"/>
                <w:sz w:val="21"/>
              </w:rPr>
              <w:t>benchmarkResult.case_scores</w:t>
            </w:r>
            <w:r>
              <w:rPr>
                <w:rFonts w:ascii="Calibri" w:hAnsi="Calibri" w:eastAsia="微软雅黑"/>
                <w:b w:val="0"/>
                <w:i w:val="0"/>
                <w:color w:val="1E293B"/>
                <w:sz w:val="21"/>
              </w:rPr>
              <w:t xml:space="preserve">，而是把每一行的 F1 得分、金额误差、耗时全部写死为 </w:t>
            </w:r>
            <w:r>
              <w:rPr>
                <w:rFonts w:ascii="Consolas" w:hAnsi="Consolas" w:eastAsia="微软雅黑"/>
                <w:b/>
                <w:i w:val="0"/>
                <w:color w:val="1A56A0"/>
                <w:sz w:val="21"/>
              </w:rPr>
              <w:t>1.00 / 0.0% / 0.001s</w:t>
            </w:r>
            <w:r>
              <w:rPr>
                <w:rFonts w:ascii="Calibri" w:hAnsi="Calibri" w:eastAsia="微软雅黑"/>
                <w:b w:val="0"/>
                <w:i w:val="0"/>
                <w:color w:val="1E293B"/>
                <w:sz w:val="21"/>
              </w:rPr>
              <w:t xml:space="preserve">，甚至把贵州茅台、福耀玻璃、中国移动 3 个合规对照案例也标成了红色的 </w:t>
            </w:r>
            <w:r>
              <w:rPr>
                <w:rFonts w:ascii="Consolas" w:hAnsi="Consolas" w:eastAsia="微软雅黑"/>
                <w:b/>
                <w:i w:val="0"/>
                <w:color w:val="1A56A0"/>
                <w:sz w:val="21"/>
              </w:rPr>
              <w:t>&lt;Status tone="critical"&gt;命中&lt;/Status&gt;</w:t>
            </w:r>
            <w:r>
              <w:rPr>
                <w:rFonts w:ascii="Calibri" w:hAnsi="Calibri" w:eastAsia="微软雅黑"/>
                <w:b w:val="0"/>
                <w:i w:val="0"/>
                <w:color w:val="1E293B"/>
                <w:sz w:val="21"/>
              </w:rPr>
              <w:t>！</w:t>
            </w:r>
          </w:p>
          <w:p>
            <w:pPr>
              <w:spacing w:before="0" w:after="0" w:line="276" w:lineRule="auto"/>
            </w:pPr>
            <w:r>
              <w:rPr>
                <w:rFonts w:ascii="Calibri" w:hAnsi="Calibri" w:eastAsia="微软雅黑"/>
                <w:b/>
                <w:i w:val="0"/>
                <w:color w:val="B91C1C"/>
                <w:sz w:val="21"/>
              </w:rPr>
              <w:t>2. 资金拓扑图模板写死（FundTopologyGraph.tsx 第77–276行）：</w:t>
            </w:r>
            <w:r>
              <w:rPr>
                <w:rFonts w:ascii="Calibri" w:hAnsi="Calibri" w:eastAsia="微软雅黑"/>
                <w:b w:val="0"/>
                <w:i w:val="0"/>
                <w:color w:val="1E293B"/>
                <w:sz w:val="21"/>
              </w:rPr>
              <w:t xml:space="preserve">后端 </w:t>
            </w:r>
            <w:r>
              <w:rPr>
                <w:rFonts w:ascii="Consolas" w:hAnsi="Consolas" w:eastAsia="微软雅黑"/>
                <w:b/>
                <w:i w:val="0"/>
                <w:color w:val="1A56A0"/>
                <w:sz w:val="21"/>
              </w:rPr>
              <w:t>analytics.py</w:t>
            </w:r>
            <w:r>
              <w:rPr>
                <w:rFonts w:ascii="Calibri" w:hAnsi="Calibri" w:eastAsia="微软雅黑"/>
                <w:b w:val="0"/>
                <w:i w:val="0"/>
                <w:color w:val="1E293B"/>
                <w:sz w:val="21"/>
              </w:rPr>
              <w:t xml:space="preserve"> 已经实现了 </w:t>
            </w:r>
            <w:r>
              <w:rPr>
                <w:rFonts w:ascii="Consolas" w:hAnsi="Consolas" w:eastAsia="微软雅黑"/>
                <w:b/>
                <w:i w:val="0"/>
                <w:color w:val="1A56A0"/>
                <w:sz w:val="21"/>
              </w:rPr>
              <w:t>detect_fund_round_trips()</w:t>
            </w:r>
            <w:r>
              <w:rPr>
                <w:rFonts w:ascii="Calibri" w:hAnsi="Calibri" w:eastAsia="微软雅黑"/>
                <w:b w:val="0"/>
                <w:i w:val="0"/>
                <w:color w:val="1E293B"/>
                <w:sz w:val="21"/>
              </w:rPr>
              <w:t xml:space="preserve"> 资金往返识别算子，但前端拓扑图根本没有读取该结果，而是对所有非合规案例渲染同一套写死坐标的 5 节点闭环图。若评委切换到“荣联科技（少结转成本）”或“风神轮胎（延迟转销跌价准备）”等无资金闭环的案例，大屏依然显示“已捕获体外资金空转自循环回路”，专业逻辑直接穿帮。</w:t>
            </w:r>
          </w:p>
        </w:tc>
      </w:tr>
    </w:tbl>
    <w:p>
      <w:pPr>
        <w:spacing w:before="0" w:after="120"/>
      </w:pPr>
    </w:p>
    <w:p>
      <w:pPr>
        <w:keepNext/>
        <w:spacing w:before="240" w:after="80"/>
      </w:pPr>
      <w:r>
        <w:rPr>
          <w:rFonts w:ascii="Calibri" w:hAnsi="Calibri" w:eastAsia="微软雅黑"/>
          <w:b/>
          <w:i w:val="0"/>
          <w:color w:val="1A56A0"/>
          <w:sz w:val="26"/>
        </w:rPr>
        <w:t>1. 竞技场（BenchmarkArena.tsx）真实数据绑定与盲测展板升级</w:t>
      </w:r>
    </w:p>
    <w:p>
      <w:pPr>
        <w:pStyle w:val="ListBullet"/>
        <w:spacing w:before="20" w:after="80" w:line="276" w:lineRule="auto"/>
      </w:pPr>
      <w:r>
        <w:rPr>
          <w:rFonts w:ascii="Calibri" w:hAnsi="Calibri" w:eastAsia="微软雅黑"/>
          <w:b/>
          <w:i w:val="0"/>
          <w:color w:val="1E293B"/>
          <w:sz w:val="22"/>
        </w:rPr>
        <w:t>动态绑定每行评测得分：</w:t>
      </w:r>
      <w:r>
        <w:rPr>
          <w:rFonts w:ascii="Calibri" w:hAnsi="Calibri" w:eastAsia="微软雅黑"/>
          <w:b w:val="0"/>
          <w:i w:val="0"/>
          <w:color w:val="1E293B"/>
          <w:sz w:val="22"/>
        </w:rPr>
        <w:t xml:space="preserve">在 </w:t>
      </w:r>
      <w:r>
        <w:rPr>
          <w:rFonts w:ascii="Consolas" w:hAnsi="Consolas" w:eastAsia="微软雅黑"/>
          <w:b/>
          <w:i w:val="0"/>
          <w:color w:val="1A56A0"/>
          <w:sz w:val="22"/>
        </w:rPr>
        <w:t>BenchmarkArena.tsx</w:t>
      </w:r>
      <w:r>
        <w:rPr>
          <w:rFonts w:ascii="Calibri" w:hAnsi="Calibri" w:eastAsia="微软雅黑"/>
          <w:b w:val="0"/>
          <w:i w:val="0"/>
          <w:color w:val="1E293B"/>
          <w:sz w:val="22"/>
        </w:rPr>
        <w:t xml:space="preserve"> 中建立 </w:t>
      </w:r>
      <w:r>
        <w:rPr>
          <w:rFonts w:ascii="Consolas" w:hAnsi="Consolas" w:eastAsia="微软雅黑"/>
          <w:b/>
          <w:i w:val="0"/>
          <w:color w:val="1A56A0"/>
          <w:sz w:val="22"/>
        </w:rPr>
        <w:t>scoreByCaseId = new Map(benchmarkResult?.case_scores?.map(s =&gt; [s.case_id, s]))</w:t>
      </w:r>
      <w:r>
        <w:rPr>
          <w:rFonts w:ascii="Calibri" w:hAnsi="Calibri" w:eastAsia="微软雅黑"/>
          <w:b w:val="0"/>
          <w:i w:val="0"/>
          <w:color w:val="1E293B"/>
          <w:sz w:val="22"/>
        </w:rPr>
        <w:t xml:space="preserve">。未点击评测前显示 </w:t>
      </w:r>
      <w:r>
        <w:rPr>
          <w:rFonts w:ascii="Consolas" w:hAnsi="Consolas" w:eastAsia="微软雅黑"/>
          <w:b/>
          <w:i w:val="0"/>
          <w:color w:val="1A56A0"/>
          <w:sz w:val="22"/>
        </w:rPr>
        <w:t>待运行 (—)</w:t>
      </w:r>
      <w:r>
        <w:rPr>
          <w:rFonts w:ascii="Calibri" w:hAnsi="Calibri" w:eastAsia="微软雅黑"/>
          <w:b w:val="0"/>
          <w:i w:val="0"/>
          <w:color w:val="1E293B"/>
          <w:sz w:val="22"/>
        </w:rPr>
        <w:t xml:space="preserve">；评测完成后真实展示每例的 </w:t>
      </w:r>
      <w:r>
        <w:rPr>
          <w:rFonts w:ascii="Consolas" w:hAnsi="Consolas" w:eastAsia="微软雅黑"/>
          <w:b/>
          <w:i w:val="0"/>
          <w:color w:val="1A56A0"/>
          <w:sz w:val="22"/>
        </w:rPr>
        <w:t>score.f1_score.toFixed(2)</w:t>
      </w:r>
      <w:r>
        <w:rPr>
          <w:rFonts w:ascii="Calibri" w:hAnsi="Calibri" w:eastAsia="微软雅黑"/>
          <w:b w:val="0"/>
          <w:i w:val="0"/>
          <w:color w:val="1E293B"/>
          <w:sz w:val="22"/>
        </w:rPr>
        <w:t>、</w:t>
      </w:r>
      <w:r>
        <w:rPr>
          <w:rFonts w:ascii="Consolas" w:hAnsi="Consolas" w:eastAsia="微软雅黑"/>
          <w:b/>
          <w:i w:val="0"/>
          <w:color w:val="1A56A0"/>
          <w:sz w:val="22"/>
        </w:rPr>
        <w:t>((1 - score.amount_accuracy_rate) * 100).toFixed(1) + '%'</w:t>
      </w:r>
      <w:r>
        <w:rPr>
          <w:rFonts w:ascii="Calibri" w:hAnsi="Calibri" w:eastAsia="微软雅黑"/>
          <w:b w:val="0"/>
          <w:i w:val="0"/>
          <w:color w:val="1E293B"/>
          <w:sz w:val="22"/>
        </w:rPr>
        <w:t xml:space="preserve"> 及真实耗时 </w:t>
      </w:r>
      <w:r>
        <w:rPr>
          <w:rFonts w:ascii="Consolas" w:hAnsi="Consolas" w:eastAsia="微软雅黑"/>
          <w:b/>
          <w:i w:val="0"/>
          <w:color w:val="1A56A0"/>
          <w:sz w:val="22"/>
        </w:rPr>
        <w:t>score.latency_seconds.toFixed(3) + 's'</w:t>
      </w:r>
      <w:r>
        <w:rPr>
          <w:rFonts w:ascii="Calibri" w:hAnsi="Calibri" w:eastAsia="微软雅黑"/>
          <w:b w:val="0"/>
          <w:i w:val="0"/>
          <w:color w:val="1E293B"/>
          <w:sz w:val="22"/>
        </w:rPr>
        <w:t>。</w:t>
      </w:r>
    </w:p>
    <w:p>
      <w:pPr>
        <w:pStyle w:val="ListBullet"/>
        <w:spacing w:before="20" w:after="80" w:line="276" w:lineRule="auto"/>
      </w:pPr>
      <w:r>
        <w:rPr>
          <w:rFonts w:ascii="Calibri" w:hAnsi="Calibri" w:eastAsia="微软雅黑"/>
          <w:b/>
          <w:i w:val="0"/>
          <w:color w:val="1E293B"/>
          <w:sz w:val="22"/>
        </w:rPr>
        <w:t>修正合规对照组状态标识：</w:t>
      </w:r>
      <w:r>
        <w:rPr>
          <w:rFonts w:ascii="Calibri" w:hAnsi="Calibri" w:eastAsia="微软雅黑"/>
          <w:b w:val="0"/>
          <w:i w:val="0"/>
          <w:color w:val="1E293B"/>
          <w:sz w:val="22"/>
        </w:rPr>
        <w:t xml:space="preserve">当 </w:t>
      </w:r>
      <w:r>
        <w:rPr>
          <w:rFonts w:ascii="Consolas" w:hAnsi="Consolas" w:eastAsia="微软雅黑"/>
          <w:b/>
          <w:i w:val="0"/>
          <w:color w:val="1A56A0"/>
          <w:sz w:val="22"/>
        </w:rPr>
        <w:t>c.is_clean</w:t>
      </w:r>
      <w:r>
        <w:rPr>
          <w:rFonts w:ascii="Calibri" w:hAnsi="Calibri" w:eastAsia="微软雅黑"/>
          <w:b w:val="0"/>
          <w:i w:val="0"/>
          <w:color w:val="1E293B"/>
          <w:sz w:val="22"/>
        </w:rPr>
        <w:t xml:space="preserve"> 为真且 </w:t>
      </w:r>
      <w:r>
        <w:rPr>
          <w:rFonts w:ascii="Consolas" w:hAnsi="Consolas" w:eastAsia="微软雅黑"/>
          <w:b/>
          <w:i w:val="0"/>
          <w:color w:val="1A56A0"/>
          <w:sz w:val="22"/>
        </w:rPr>
        <w:t>score.false_positive_count === 0</w:t>
      </w:r>
      <w:r>
        <w:rPr>
          <w:rFonts w:ascii="Calibri" w:hAnsi="Calibri" w:eastAsia="微软雅黑"/>
          <w:b w:val="0"/>
          <w:i w:val="0"/>
          <w:color w:val="1E293B"/>
          <w:sz w:val="22"/>
        </w:rPr>
        <w:t xml:space="preserve"> 时，渲染绿色标签 </w:t>
      </w:r>
      <w:r>
        <w:rPr>
          <w:rFonts w:ascii="Consolas" w:hAnsi="Consolas" w:eastAsia="微软雅黑"/>
          <w:b/>
          <w:i w:val="0"/>
          <w:color w:val="1A56A0"/>
          <w:sz w:val="22"/>
        </w:rPr>
        <w:t>&lt;Status tone="clear"&gt;零误报通过&lt;/Status&gt;</w:t>
      </w:r>
      <w:r>
        <w:rPr>
          <w:rFonts w:ascii="Calibri" w:hAnsi="Calibri" w:eastAsia="微软雅黑"/>
          <w:b w:val="0"/>
          <w:i w:val="0"/>
          <w:color w:val="1E293B"/>
          <w:sz w:val="22"/>
        </w:rPr>
        <w:t>，直观体现模型不乱报的严谨性。</w:t>
      </w:r>
    </w:p>
    <w:p>
      <w:pPr>
        <w:pStyle w:val="ListBullet"/>
        <w:spacing w:before="20" w:after="160" w:line="276" w:lineRule="auto"/>
      </w:pPr>
      <w:r>
        <w:rPr>
          <w:rFonts w:ascii="Calibri" w:hAnsi="Calibri" w:eastAsia="微软雅黑"/>
          <w:b/>
          <w:i w:val="0"/>
          <w:color w:val="1E293B"/>
          <w:sz w:val="22"/>
        </w:rPr>
        <w:t>新增“三层评测体系切换栏”：</w:t>
      </w:r>
      <w:r>
        <w:rPr>
          <w:rFonts w:ascii="Calibri" w:hAnsi="Calibri" w:eastAsia="微软雅黑"/>
          <w:b w:val="0"/>
          <w:i w:val="0"/>
          <w:color w:val="1E293B"/>
          <w:sz w:val="22"/>
        </w:rPr>
        <w:t>在竞技场顶部增加切换按钮，支持一键查看【开发集 28 例】、【独立外部盲测集 14 例（</w:t>
      </w:r>
      <w:r>
        <w:rPr>
          <w:rFonts w:ascii="Consolas" w:hAnsi="Consolas" w:eastAsia="微软雅黑"/>
          <w:b/>
          <w:i w:val="0"/>
          <w:color w:val="1A56A0"/>
          <w:sz w:val="22"/>
        </w:rPr>
        <w:t>blind_real.py</w:t>
      </w:r>
      <w:r>
        <w:rPr>
          <w:rFonts w:ascii="Calibri" w:hAnsi="Calibri" w:eastAsia="微软雅黑"/>
          <w:b w:val="0"/>
          <w:i w:val="0"/>
          <w:color w:val="1E293B"/>
          <w:sz w:val="22"/>
        </w:rPr>
        <w:t>）】与【合成随机账套 20 种子（</w:t>
      </w:r>
      <w:r>
        <w:rPr>
          <w:rFonts w:ascii="Consolas" w:hAnsi="Consolas" w:eastAsia="微软雅黑"/>
          <w:b/>
          <w:i w:val="0"/>
          <w:color w:val="1A56A0"/>
          <w:sz w:val="22"/>
        </w:rPr>
        <w:t>blind_synthetic.py</w:t>
      </w:r>
      <w:r>
        <w:rPr>
          <w:rFonts w:ascii="Calibri" w:hAnsi="Calibri" w:eastAsia="微软雅黑"/>
          <w:b w:val="0"/>
          <w:i w:val="0"/>
          <w:color w:val="1E293B"/>
          <w:sz w:val="22"/>
        </w:rPr>
        <w:t xml:space="preserve">）】，把团队在 </w:t>
      </w:r>
      <w:r>
        <w:rPr>
          <w:rFonts w:ascii="Consolas" w:hAnsi="Consolas" w:eastAsia="微软雅黑"/>
          <w:b/>
          <w:i w:val="0"/>
          <w:color w:val="1A56A0"/>
          <w:sz w:val="22"/>
        </w:rPr>
        <w:t>README.md</w:t>
      </w:r>
      <w:r>
        <w:rPr>
          <w:rFonts w:ascii="Calibri" w:hAnsi="Calibri" w:eastAsia="微软雅黑"/>
          <w:b w:val="0"/>
          <w:i w:val="0"/>
          <w:color w:val="1E293B"/>
          <w:sz w:val="22"/>
        </w:rPr>
        <w:t xml:space="preserve"> 中披露的硬核盲测工作变成可视化的答辩亮点。</w:t>
      </w:r>
    </w:p>
    <w:p>
      <w:pPr>
        <w:keepNext/>
        <w:spacing w:before="240" w:after="80"/>
      </w:pPr>
      <w:r>
        <w:rPr>
          <w:rFonts w:ascii="Calibri" w:hAnsi="Calibri" w:eastAsia="微软雅黑"/>
          <w:b/>
          <w:i w:val="0"/>
          <w:color w:val="1A56A0"/>
          <w:sz w:val="26"/>
        </w:rPr>
        <w:t>2. 资金拓扑图（FundTopologyGraph.tsx）与真实算子联动</w:t>
      </w:r>
    </w:p>
    <w:p>
      <w:pPr>
        <w:pStyle w:val="ListBullet"/>
        <w:spacing w:before="20" w:after="80" w:line="276" w:lineRule="auto"/>
      </w:pPr>
      <w:r>
        <w:rPr>
          <w:rFonts w:ascii="Calibri" w:hAnsi="Calibri" w:eastAsia="微软雅黑"/>
          <w:b/>
          <w:i w:val="0"/>
          <w:color w:val="1E293B"/>
          <w:sz w:val="22"/>
        </w:rPr>
        <w:t>优先渲染真实资金往返回路：</w:t>
      </w:r>
      <w:r>
        <w:rPr>
          <w:rFonts w:ascii="Calibri" w:hAnsi="Calibri" w:eastAsia="微软雅黑"/>
          <w:b w:val="0"/>
          <w:i w:val="0"/>
          <w:color w:val="1E293B"/>
          <w:sz w:val="22"/>
        </w:rPr>
        <w:t xml:space="preserve">将 </w:t>
      </w:r>
      <w:r>
        <w:rPr>
          <w:rFonts w:ascii="Consolas" w:hAnsi="Consolas" w:eastAsia="微软雅黑"/>
          <w:b/>
          <w:i w:val="0"/>
          <w:color w:val="1A56A0"/>
          <w:sz w:val="22"/>
        </w:rPr>
        <w:t>report?.analytics?.fund_round_trips</w:t>
      </w:r>
      <w:r>
        <w:rPr>
          <w:rFonts w:ascii="Calibri" w:hAnsi="Calibri" w:eastAsia="微软雅黑"/>
          <w:b w:val="0"/>
          <w:i w:val="0"/>
          <w:color w:val="1E293B"/>
          <w:sz w:val="22"/>
        </w:rPr>
        <w:t xml:space="preserve"> 传入 </w:t>
      </w:r>
      <w:r>
        <w:rPr>
          <w:rFonts w:ascii="Consolas" w:hAnsi="Consolas" w:eastAsia="微软雅黑"/>
          <w:b/>
          <w:i w:val="0"/>
          <w:color w:val="1A56A0"/>
          <w:sz w:val="22"/>
        </w:rPr>
        <w:t>FundTopologyGraph</w:t>
      </w:r>
      <w:r>
        <w:rPr>
          <w:rFonts w:ascii="Calibri" w:hAnsi="Calibri" w:eastAsia="微软雅黑"/>
          <w:b w:val="0"/>
          <w:i w:val="0"/>
          <w:color w:val="1E293B"/>
          <w:sz w:val="22"/>
        </w:rPr>
        <w:t xml:space="preserve">。当 </w:t>
      </w:r>
      <w:r>
        <w:rPr>
          <w:rFonts w:ascii="Consolas" w:hAnsi="Consolas" w:eastAsia="微软雅黑"/>
          <w:b/>
          <w:i w:val="0"/>
          <w:color w:val="1A56A0"/>
          <w:sz w:val="22"/>
        </w:rPr>
        <w:t>loops.length &gt; 0</w:t>
      </w:r>
      <w:r>
        <w:rPr>
          <w:rFonts w:ascii="Calibri" w:hAnsi="Calibri" w:eastAsia="微软雅黑"/>
          <w:b w:val="0"/>
          <w:i w:val="0"/>
          <w:color w:val="1E293B"/>
          <w:sz w:val="22"/>
        </w:rPr>
        <w:t xml:space="preserve"> 时，根据算子检出的真实流出流水号（</w:t>
      </w:r>
      <w:r>
        <w:rPr>
          <w:rFonts w:ascii="Consolas" w:hAnsi="Consolas" w:eastAsia="微软雅黑"/>
          <w:b/>
          <w:i w:val="0"/>
          <w:color w:val="1A56A0"/>
          <w:sz w:val="22"/>
        </w:rPr>
        <w:t>out_id</w:t>
      </w:r>
      <w:r>
        <w:rPr>
          <w:rFonts w:ascii="Calibri" w:hAnsi="Calibri" w:eastAsia="微软雅黑"/>
          <w:b w:val="0"/>
          <w:i w:val="0"/>
          <w:color w:val="1E293B"/>
          <w:sz w:val="22"/>
        </w:rPr>
        <w:t>）、对手方名称（</w:t>
      </w:r>
      <w:r>
        <w:rPr>
          <w:rFonts w:ascii="Consolas" w:hAnsi="Consolas" w:eastAsia="微软雅黑"/>
          <w:b/>
          <w:i w:val="0"/>
          <w:color w:val="1A56A0"/>
          <w:sz w:val="22"/>
        </w:rPr>
        <w:t>out_party / in_party</w:t>
      </w:r>
      <w:r>
        <w:rPr>
          <w:rFonts w:ascii="Calibri" w:hAnsi="Calibri" w:eastAsia="微软雅黑"/>
          <w:b w:val="0"/>
          <w:i w:val="0"/>
          <w:color w:val="1E293B"/>
          <w:sz w:val="22"/>
        </w:rPr>
        <w:t>）、间隔天数（</w:t>
      </w:r>
      <w:r>
        <w:rPr>
          <w:rFonts w:ascii="Consolas" w:hAnsi="Consolas" w:eastAsia="微软雅黑"/>
          <w:b/>
          <w:i w:val="0"/>
          <w:color w:val="1A56A0"/>
          <w:sz w:val="22"/>
        </w:rPr>
        <w:t>days</w:t>
      </w:r>
      <w:r>
        <w:rPr>
          <w:rFonts w:ascii="Calibri" w:hAnsi="Calibri" w:eastAsia="微软雅黑"/>
          <w:b w:val="0"/>
          <w:i w:val="0"/>
          <w:color w:val="1E293B"/>
          <w:sz w:val="22"/>
        </w:rPr>
        <w:t>）和金额动态生成 SVG 节点与有向边。</w:t>
      </w:r>
    </w:p>
    <w:p>
      <w:pPr>
        <w:pStyle w:val="ListBullet"/>
        <w:spacing w:before="20" w:after="160" w:line="276" w:lineRule="auto"/>
      </w:pPr>
      <w:r>
        <w:rPr>
          <w:rFonts w:ascii="Calibri" w:hAnsi="Calibri" w:eastAsia="微软雅黑"/>
          <w:b/>
          <w:i w:val="0"/>
          <w:color w:val="1E293B"/>
          <w:sz w:val="22"/>
        </w:rPr>
        <w:t>按舞弊类别自适应拓扑模式：</w:t>
      </w:r>
      <w:r>
        <w:rPr>
          <w:rFonts w:ascii="Calibri" w:hAnsi="Calibri" w:eastAsia="微软雅黑"/>
          <w:b w:val="0"/>
          <w:i w:val="0"/>
          <w:color w:val="1E293B"/>
          <w:sz w:val="22"/>
        </w:rPr>
        <w:t>对于无体外资金循环、但存在“跨期收入 / 少计成本 / 存货造假 / 账实不符”的案例，将 SVG 图切换为</w:t>
      </w:r>
      <w:r>
        <w:rPr>
          <w:rFonts w:ascii="Calibri" w:hAnsi="Calibri" w:eastAsia="微软雅黑"/>
          <w:b/>
          <w:i w:val="0"/>
          <w:color w:val="0F2C59"/>
          <w:sz w:val="22"/>
        </w:rPr>
        <w:t>「业财单据与会计科目勾稽拓扑图」</w:t>
      </w:r>
      <w:r>
        <w:rPr>
          <w:rFonts w:ascii="Calibri" w:hAnsi="Calibri" w:eastAsia="微软雅黑"/>
          <w:b w:val="0"/>
          <w:i w:val="0"/>
          <w:color w:val="1E293B"/>
          <w:sz w:val="22"/>
        </w:rPr>
        <w:t xml:space="preserve">（展示 </w:t>
      </w:r>
      <w:r>
        <w:rPr>
          <w:rFonts w:ascii="Consolas" w:hAnsi="Consolas" w:eastAsia="微软雅黑"/>
          <w:b/>
          <w:i w:val="0"/>
          <w:color w:val="1A56A0"/>
          <w:sz w:val="22"/>
        </w:rPr>
        <w:t>业务合同 ➔ 增值税发票/出入库 ➔ 记账凭证借贷科目 ➔ 银行对账单</w:t>
      </w:r>
      <w:r>
        <w:rPr>
          <w:rFonts w:ascii="Calibri" w:hAnsi="Calibri" w:eastAsia="微软雅黑"/>
          <w:b w:val="0"/>
          <w:i w:val="0"/>
          <w:color w:val="1E293B"/>
          <w:sz w:val="22"/>
        </w:rPr>
        <w:t xml:space="preserve"> 四层节点，并在断裂处标红高亮），做到每一个案例的拓扑图都与真实案情严丝合缝。</w:t>
      </w:r>
    </w:p>
    <w:p>
      <w:pPr>
        <w:keepNext/>
        <w:spacing w:before="240" w:after="80"/>
      </w:pPr>
      <w:r>
        <w:rPr>
          <w:rFonts w:ascii="Calibri" w:hAnsi="Calibri" w:eastAsia="微软雅黑"/>
          <w:b/>
          <w:i w:val="0"/>
          <w:color w:val="1A56A0"/>
          <w:sz w:val="26"/>
        </w:rPr>
        <w:t>3. 修复发票字段断层、CPA 签章导出丢件与脱敏刷新失效</w:t>
      </w:r>
    </w:p>
    <w:p>
      <w:pPr>
        <w:pStyle w:val="ListBullet"/>
        <w:spacing w:before="20" w:after="80" w:line="276" w:lineRule="auto"/>
      </w:pPr>
      <w:r>
        <w:rPr>
          <w:rFonts w:ascii="Calibri" w:hAnsi="Calibri" w:eastAsia="微软雅黑"/>
          <w:b/>
          <w:i w:val="0"/>
          <w:color w:val="1E293B"/>
          <w:sz w:val="22"/>
        </w:rPr>
        <w:t>修复发票列表空白（ReconciliationVisualizer.tsx 第147行 &amp; types.ts）：</w:t>
      </w:r>
      <w:r>
        <w:rPr>
          <w:rFonts w:ascii="Calibri" w:hAnsi="Calibri" w:eastAsia="微软雅黑"/>
          <w:b w:val="0"/>
          <w:i w:val="0"/>
          <w:color w:val="1E293B"/>
          <w:sz w:val="22"/>
        </w:rPr>
        <w:t xml:space="preserve">后端 </w:t>
      </w:r>
      <w:r>
        <w:rPr>
          <w:rFonts w:ascii="Consolas" w:hAnsi="Consolas" w:eastAsia="微软雅黑"/>
          <w:b/>
          <w:i w:val="0"/>
          <w:color w:val="1A56A0"/>
          <w:sz w:val="22"/>
        </w:rPr>
        <w:t>InvoiceItem</w:t>
      </w:r>
      <w:r>
        <w:rPr>
          <w:rFonts w:ascii="Calibri" w:hAnsi="Calibri" w:eastAsia="微软雅黑"/>
          <w:b w:val="0"/>
          <w:i w:val="0"/>
          <w:color w:val="1E293B"/>
          <w:sz w:val="22"/>
        </w:rPr>
        <w:t xml:space="preserve"> 字段为 </w:t>
      </w:r>
      <w:r>
        <w:rPr>
          <w:rFonts w:ascii="Consolas" w:hAnsi="Consolas" w:eastAsia="微软雅黑"/>
          <w:b/>
          <w:i w:val="0"/>
          <w:color w:val="1A56A0"/>
          <w:sz w:val="22"/>
        </w:rPr>
        <w:t>buyer_name / seller_name / amount_without_tax / goods_or_service</w:t>
      </w:r>
      <w:r>
        <w:rPr>
          <w:rFonts w:ascii="Calibri" w:hAnsi="Calibri" w:eastAsia="微软雅黑"/>
          <w:b w:val="0"/>
          <w:i w:val="0"/>
          <w:color w:val="1E293B"/>
          <w:sz w:val="22"/>
        </w:rPr>
        <w:t xml:space="preserve">，而前端读取了不存在的 </w:t>
      </w:r>
      <w:r>
        <w:rPr>
          <w:rFonts w:ascii="Consolas" w:hAnsi="Consolas" w:eastAsia="微软雅黑"/>
          <w:b/>
          <w:i w:val="0"/>
          <w:color w:val="1A56A0"/>
          <w:sz w:val="22"/>
        </w:rPr>
        <w:t>inv.customer_or_vendor</w:t>
      </w:r>
      <w:r>
        <w:rPr>
          <w:rFonts w:ascii="Calibri" w:hAnsi="Calibri" w:eastAsia="微软雅黑"/>
          <w:b w:val="0"/>
          <w:i w:val="0"/>
          <w:color w:val="1E293B"/>
          <w:sz w:val="22"/>
        </w:rPr>
        <w:t xml:space="preserve">。需同步更新 </w:t>
      </w:r>
      <w:r>
        <w:rPr>
          <w:rFonts w:ascii="Consolas" w:hAnsi="Consolas" w:eastAsia="微软雅黑"/>
          <w:b/>
          <w:i w:val="0"/>
          <w:color w:val="1A56A0"/>
          <w:sz w:val="22"/>
        </w:rPr>
        <w:t>types.ts</w:t>
      </w:r>
      <w:r>
        <w:rPr>
          <w:rFonts w:ascii="Calibri" w:hAnsi="Calibri" w:eastAsia="微软雅黑"/>
          <w:b w:val="0"/>
          <w:i w:val="0"/>
          <w:color w:val="1E293B"/>
          <w:sz w:val="22"/>
        </w:rPr>
        <w:t xml:space="preserve"> 并在表格中展示 </w:t>
      </w:r>
      <w:r>
        <w:rPr>
          <w:rFonts w:ascii="Consolas" w:hAnsi="Consolas" w:eastAsia="微软雅黑"/>
          <w:b/>
          <w:i w:val="0"/>
          <w:color w:val="1A56A0"/>
          <w:sz w:val="22"/>
        </w:rPr>
        <w:t>inv.buyer_name || inv.seller_name</w:t>
      </w:r>
      <w:r>
        <w:rPr>
          <w:rFonts w:ascii="Calibri" w:hAnsi="Calibri" w:eastAsia="微软雅黑"/>
          <w:b w:val="0"/>
          <w:i w:val="0"/>
          <w:color w:val="1E293B"/>
          <w:sz w:val="22"/>
        </w:rPr>
        <w:t xml:space="preserve"> 及 </w:t>
      </w:r>
      <w:r>
        <w:rPr>
          <w:rFonts w:ascii="Consolas" w:hAnsi="Consolas" w:eastAsia="微软雅黑"/>
          <w:b/>
          <w:i w:val="0"/>
          <w:color w:val="1A56A0"/>
          <w:sz w:val="22"/>
        </w:rPr>
        <w:t>inv.goods_or_service</w:t>
      </w:r>
      <w:r>
        <w:rPr>
          <w:rFonts w:ascii="Calibri" w:hAnsi="Calibri" w:eastAsia="微软雅黑"/>
          <w:b w:val="0"/>
          <w:i w:val="0"/>
          <w:color w:val="1E293B"/>
          <w:sz w:val="22"/>
        </w:rPr>
        <w:t>。</w:t>
      </w:r>
    </w:p>
    <w:p>
      <w:pPr>
        <w:pStyle w:val="ListBullet"/>
        <w:spacing w:before="20" w:after="80" w:line="276" w:lineRule="auto"/>
      </w:pPr>
      <w:r>
        <w:rPr>
          <w:rFonts w:ascii="Calibri" w:hAnsi="Calibri" w:eastAsia="微软雅黑"/>
          <w:b/>
          <w:i w:val="0"/>
          <w:color w:val="1E293B"/>
          <w:sz w:val="22"/>
        </w:rPr>
        <w:t>打通 CPA 电子签章至 Excel/PDF 导出（WorkpaperTable.tsx &amp; server.py）：</w:t>
      </w:r>
      <w:r>
        <w:rPr>
          <w:rFonts w:ascii="Calibri" w:hAnsi="Calibri" w:eastAsia="微软雅黑"/>
          <w:b w:val="0"/>
          <w:i w:val="0"/>
          <w:color w:val="1E293B"/>
          <w:sz w:val="22"/>
        </w:rPr>
        <w:t xml:space="preserve">在 </w:t>
      </w:r>
      <w:r>
        <w:rPr>
          <w:rFonts w:ascii="Consolas" w:hAnsi="Consolas" w:eastAsia="微软雅黑"/>
          <w:b/>
          <w:i w:val="0"/>
          <w:color w:val="1A56A0"/>
          <w:sz w:val="22"/>
        </w:rPr>
        <w:t>WorkpaperTable.tsx</w:t>
      </w:r>
      <w:r>
        <w:rPr>
          <w:rFonts w:ascii="Calibri" w:hAnsi="Calibri" w:eastAsia="微软雅黑"/>
          <w:b w:val="0"/>
          <w:i w:val="0"/>
          <w:color w:val="1E293B"/>
          <w:sz w:val="22"/>
        </w:rPr>
        <w:t xml:space="preserve"> 调用 </w:t>
      </w:r>
      <w:r>
        <w:rPr>
          <w:rFonts w:ascii="Consolas" w:hAnsi="Consolas" w:eastAsia="微软雅黑"/>
          <w:b/>
          <w:i w:val="0"/>
          <w:color w:val="1A56A0"/>
          <w:sz w:val="22"/>
        </w:rPr>
        <w:t>/api/export/excel</w:t>
      </w:r>
      <w:r>
        <w:rPr>
          <w:rFonts w:ascii="Calibri" w:hAnsi="Calibri" w:eastAsia="微软雅黑"/>
          <w:b w:val="0"/>
          <w:i w:val="0"/>
          <w:color w:val="1E293B"/>
          <w:sz w:val="22"/>
        </w:rPr>
        <w:t xml:space="preserve"> 与 </w:t>
      </w:r>
      <w:r>
        <w:rPr>
          <w:rFonts w:ascii="Consolas" w:hAnsi="Consolas" w:eastAsia="微软雅黑"/>
          <w:b/>
          <w:i w:val="0"/>
          <w:color w:val="1A56A0"/>
          <w:sz w:val="22"/>
        </w:rPr>
        <w:t>/api/export/pdf</w:t>
      </w:r>
      <w:r>
        <w:rPr>
          <w:rFonts w:ascii="Calibri" w:hAnsi="Calibri" w:eastAsia="微软雅黑"/>
          <w:b w:val="0"/>
          <w:i w:val="0"/>
          <w:color w:val="1E293B"/>
          <w:sz w:val="22"/>
        </w:rPr>
        <w:t xml:space="preserve"> 时，将签署生成的 </w:t>
      </w:r>
      <w:r>
        <w:rPr>
          <w:rFonts w:ascii="Consolas" w:hAnsi="Consolas" w:eastAsia="微软雅黑"/>
          <w:b/>
          <w:i w:val="0"/>
          <w:color w:val="1A56A0"/>
          <w:sz w:val="22"/>
        </w:rPr>
        <w:t>cpaReceipt</w:t>
      </w:r>
      <w:r>
        <w:rPr>
          <w:rFonts w:ascii="Calibri" w:hAnsi="Calibri" w:eastAsia="微软雅黑"/>
          <w:b w:val="0"/>
          <w:i w:val="0"/>
          <w:color w:val="1E293B"/>
          <w:sz w:val="22"/>
        </w:rPr>
        <w:t xml:space="preserve"> 一并放入请求 JSON（如 </w:t>
      </w:r>
      <w:r>
        <w:rPr>
          <w:rFonts w:ascii="Consolas" w:hAnsi="Consolas" w:eastAsia="微软雅黑"/>
          <w:b/>
          <w:i w:val="0"/>
          <w:color w:val="1A56A0"/>
          <w:sz w:val="22"/>
        </w:rPr>
        <w:t>{...report, cpa_signoff: cpaReceipt}</w:t>
      </w:r>
      <w:r>
        <w:rPr>
          <w:rFonts w:ascii="Calibri" w:hAnsi="Calibri" w:eastAsia="微软雅黑"/>
          <w:b w:val="0"/>
          <w:i w:val="0"/>
          <w:color w:val="1E293B"/>
          <w:sz w:val="22"/>
        </w:rPr>
        <w:t xml:space="preserve">）；后端 </w:t>
      </w:r>
      <w:r>
        <w:rPr>
          <w:rFonts w:ascii="Consolas" w:hAnsi="Consolas" w:eastAsia="微软雅黑"/>
          <w:b/>
          <w:i w:val="0"/>
          <w:color w:val="1A56A0"/>
          <w:sz w:val="22"/>
        </w:rPr>
        <w:t>src/api/server.py</w:t>
      </w:r>
      <w:r>
        <w:rPr>
          <w:rFonts w:ascii="Calibri" w:hAnsi="Calibri" w:eastAsia="微软雅黑"/>
          <w:b w:val="0"/>
          <w:i w:val="0"/>
          <w:color w:val="1E293B"/>
          <w:sz w:val="22"/>
        </w:rPr>
        <w:t xml:space="preserve"> 第 528–560 行解析 </w:t>
      </w:r>
      <w:r>
        <w:rPr>
          <w:rFonts w:ascii="Consolas" w:hAnsi="Consolas" w:eastAsia="微软雅黑"/>
          <w:b/>
          <w:i w:val="0"/>
          <w:color w:val="1A56A0"/>
          <w:sz w:val="22"/>
        </w:rPr>
        <w:t>cpa_signoff</w:t>
      </w:r>
      <w:r>
        <w:rPr>
          <w:rFonts w:ascii="Calibri" w:hAnsi="Calibri" w:eastAsia="微软雅黑"/>
          <w:b w:val="0"/>
          <w:i w:val="0"/>
          <w:color w:val="1E293B"/>
          <w:sz w:val="22"/>
        </w:rPr>
        <w:t xml:space="preserve"> 并传给 </w:t>
      </w:r>
      <w:r>
        <w:rPr>
          <w:rFonts w:ascii="Consolas" w:hAnsi="Consolas" w:eastAsia="微软雅黑"/>
          <w:b/>
          <w:i w:val="0"/>
          <w:color w:val="1A56A0"/>
          <w:sz w:val="22"/>
        </w:rPr>
        <w:t>export_workpaper_to_excel(report, out_path, cpa_signoff=...)</w:t>
      </w:r>
      <w:r>
        <w:rPr>
          <w:rFonts w:ascii="Calibri" w:hAnsi="Calibri" w:eastAsia="微软雅黑"/>
          <w:b w:val="0"/>
          <w:i w:val="0"/>
          <w:color w:val="1E293B"/>
          <w:sz w:val="22"/>
        </w:rPr>
        <w:t xml:space="preserve"> 和 </w:t>
      </w:r>
      <w:r>
        <w:rPr>
          <w:rFonts w:ascii="Consolas" w:hAnsi="Consolas" w:eastAsia="微软雅黑"/>
          <w:b/>
          <w:i w:val="0"/>
          <w:color w:val="1A56A0"/>
          <w:sz w:val="22"/>
        </w:rPr>
        <w:t>export_report_to_pdf()</w:t>
      </w:r>
      <w:r>
        <w:rPr>
          <w:rFonts w:ascii="Calibri" w:hAnsi="Calibri" w:eastAsia="微软雅黑"/>
          <w:b w:val="0"/>
          <w:i w:val="0"/>
          <w:color w:val="1E293B"/>
          <w:sz w:val="22"/>
        </w:rPr>
        <w:t>，使导出的底稿真正带有现场签署的注会姓名、时间戳和 SHA-256 哈希。</w:t>
      </w:r>
    </w:p>
    <w:p>
      <w:pPr>
        <w:pStyle w:val="ListBullet"/>
        <w:spacing w:before="20" w:after="80" w:line="276" w:lineRule="auto"/>
      </w:pPr>
      <w:r>
        <w:rPr>
          <w:rFonts w:ascii="Calibri" w:hAnsi="Calibri" w:eastAsia="微软雅黑"/>
          <w:b/>
          <w:i w:val="0"/>
          <w:color w:val="1E293B"/>
          <w:sz w:val="22"/>
        </w:rPr>
        <w:t>持久化案例脱敏状态（server.py 第592行）：</w:t>
      </w:r>
      <w:r>
        <w:rPr>
          <w:rFonts w:ascii="Consolas" w:hAnsi="Consolas" w:eastAsia="微软雅黑"/>
          <w:b/>
          <w:i w:val="0"/>
          <w:color w:val="1A56A0"/>
          <w:sz w:val="22"/>
        </w:rPr>
        <w:t>POST /api/compliance/sanitize-case/{case_id}</w:t>
      </w:r>
      <w:r>
        <w:rPr>
          <w:rFonts w:ascii="Calibri" w:hAnsi="Calibri" w:eastAsia="微软雅黑"/>
          <w:b w:val="0"/>
          <w:i w:val="0"/>
          <w:color w:val="1E293B"/>
          <w:sz w:val="22"/>
        </w:rPr>
        <w:t xml:space="preserve"> 执行 </w:t>
      </w:r>
      <w:r>
        <w:rPr>
          <w:rFonts w:ascii="Consolas" w:hAnsi="Consolas" w:eastAsia="微软雅黑"/>
          <w:b/>
          <w:i w:val="0"/>
          <w:color w:val="1A56A0"/>
          <w:sz w:val="22"/>
        </w:rPr>
        <w:t>DataSanitizer.sanitize_case_data(case)</w:t>
      </w:r>
      <w:r>
        <w:rPr>
          <w:rFonts w:ascii="Calibri" w:hAnsi="Calibri" w:eastAsia="微软雅黑"/>
          <w:b w:val="0"/>
          <w:i w:val="0"/>
          <w:color w:val="1E293B"/>
          <w:sz w:val="22"/>
        </w:rPr>
        <w:t xml:space="preserve"> 后，必须将脱敏后的对象写回内存案例池（同时保存未脱敏备份以便一键还原），否则前端 </w:t>
      </w:r>
      <w:r>
        <w:rPr>
          <w:rFonts w:ascii="Consolas" w:hAnsi="Consolas" w:eastAsia="微软雅黑"/>
          <w:b/>
          <w:i w:val="0"/>
          <w:color w:val="1A56A0"/>
          <w:sz w:val="22"/>
        </w:rPr>
        <w:t>refreshCurrentCase()</w:t>
      </w:r>
      <w:r>
        <w:rPr>
          <w:rFonts w:ascii="Calibri" w:hAnsi="Calibri" w:eastAsia="微软雅黑"/>
          <w:b w:val="0"/>
          <w:i w:val="0"/>
          <w:color w:val="1E293B"/>
          <w:sz w:val="22"/>
        </w:rPr>
        <w:t xml:space="preserve"> 重新请求 </w:t>
      </w:r>
      <w:r>
        <w:rPr>
          <w:rFonts w:ascii="Consolas" w:hAnsi="Consolas" w:eastAsia="微软雅黑"/>
          <w:b/>
          <w:i w:val="0"/>
          <w:color w:val="1A56A0"/>
          <w:sz w:val="22"/>
        </w:rPr>
        <w:t>GET /api/cases/{case_id}</w:t>
      </w:r>
      <w:r>
        <w:rPr>
          <w:rFonts w:ascii="Calibri" w:hAnsi="Calibri" w:eastAsia="微软雅黑"/>
          <w:b w:val="0"/>
          <w:i w:val="0"/>
          <w:color w:val="1E293B"/>
          <w:sz w:val="22"/>
        </w:rPr>
        <w:t xml:space="preserve"> 时数据会立即变回未脱敏原文。</w:t>
      </w:r>
    </w:p>
    <w:p>
      <w:pPr>
        <w:pStyle w:val="ListBullet"/>
        <w:spacing w:before="20" w:after="160" w:line="276" w:lineRule="auto"/>
      </w:pPr>
      <w:r>
        <w:rPr>
          <w:rFonts w:ascii="Calibri" w:hAnsi="Calibri" w:eastAsia="微软雅黑"/>
          <w:b/>
          <w:i w:val="0"/>
          <w:color w:val="1E293B"/>
          <w:sz w:val="22"/>
        </w:rPr>
        <w:t>清理三套技术栈残余与口径冲突：</w:t>
      </w:r>
      <w:r>
        <w:rPr>
          <w:rFonts w:ascii="Calibri" w:hAnsi="Calibri" w:eastAsia="微软雅黑"/>
          <w:b w:val="0"/>
          <w:i w:val="0"/>
          <w:color w:val="1E293B"/>
          <w:sz w:val="22"/>
        </w:rPr>
        <w:t xml:space="preserve">仓库中 </w:t>
      </w:r>
      <w:r>
        <w:rPr>
          <w:rFonts w:ascii="Consolas" w:hAnsi="Consolas" w:eastAsia="微软雅黑"/>
          <w:b/>
          <w:i w:val="0"/>
          <w:color w:val="1A56A0"/>
          <w:sz w:val="22"/>
        </w:rPr>
        <w:t>dsh-plugin-accounting-audit/src/index.ts</w:t>
      </w:r>
      <w:r>
        <w:rPr>
          <w:rFonts w:ascii="Calibri" w:hAnsi="Calibri" w:eastAsia="微软雅黑"/>
          <w:b w:val="0"/>
          <w:i w:val="0"/>
          <w:color w:val="1E293B"/>
          <w:sz w:val="22"/>
        </w:rPr>
        <w:t xml:space="preserve"> 第 88–104 行仍保留着 </w:t>
      </w:r>
      <w:r>
        <w:rPr>
          <w:rFonts w:ascii="Consolas" w:hAnsi="Consolas" w:eastAsia="微软雅黑"/>
          <w:b/>
          <w:i w:val="0"/>
          <w:color w:val="1A56A0"/>
          <w:sz w:val="22"/>
        </w:rPr>
        <w:t>prevSales: fs.revenue * 0.75</w:t>
      </w:r>
      <w:r>
        <w:rPr>
          <w:rFonts w:ascii="Calibri" w:hAnsi="Calibri" w:eastAsia="微软雅黑"/>
          <w:b w:val="0"/>
          <w:i w:val="0"/>
          <w:color w:val="1E293B"/>
          <w:sz w:val="22"/>
        </w:rPr>
        <w:t xml:space="preserve"> 等硬编码假比例，直接违背 </w:t>
      </w:r>
      <w:r>
        <w:rPr>
          <w:rFonts w:ascii="Consolas" w:hAnsi="Consolas" w:eastAsia="微软雅黑"/>
          <w:b/>
          <w:i w:val="0"/>
          <w:color w:val="1A56A0"/>
          <w:sz w:val="22"/>
        </w:rPr>
        <w:t>README.md</w:t>
      </w:r>
      <w:r>
        <w:rPr>
          <w:rFonts w:ascii="Calibri" w:hAnsi="Calibri" w:eastAsia="微软雅黑"/>
          <w:b w:val="0"/>
          <w:i w:val="0"/>
          <w:color w:val="1E293B"/>
          <w:sz w:val="22"/>
        </w:rPr>
        <w:t xml:space="preserve"> 承诺；且 </w:t>
      </w:r>
      <w:r>
        <w:rPr>
          <w:rFonts w:ascii="Consolas" w:hAnsi="Consolas" w:eastAsia="微软雅黑"/>
          <w:b/>
          <w:i w:val="0"/>
          <w:color w:val="1A56A0"/>
          <w:sz w:val="22"/>
        </w:rPr>
        <w:t>start_demo.ps1</w:t>
      </w:r>
      <w:r>
        <w:rPr>
          <w:rFonts w:ascii="Calibri" w:hAnsi="Calibri" w:eastAsia="微软雅黑"/>
          <w:b w:val="0"/>
          <w:i w:val="0"/>
          <w:color w:val="1E293B"/>
          <w:sz w:val="22"/>
        </w:rPr>
        <w:t xml:space="preserve"> 仍在启动旧版 Streamlit（</w:t>
      </w:r>
      <w:r>
        <w:rPr>
          <w:rFonts w:ascii="Consolas" w:hAnsi="Consolas" w:eastAsia="微软雅黑"/>
          <w:b/>
          <w:i w:val="0"/>
          <w:color w:val="1A56A0"/>
          <w:sz w:val="22"/>
        </w:rPr>
        <w:t>src/ui/app.py</w:t>
      </w:r>
      <w:r>
        <w:rPr>
          <w:rFonts w:ascii="Calibri" w:hAnsi="Calibri" w:eastAsia="微软雅黑"/>
          <w:b w:val="0"/>
          <w:i w:val="0"/>
          <w:color w:val="1E293B"/>
          <w:sz w:val="22"/>
        </w:rPr>
        <w:t xml:space="preserve">）。建议同步修正 TS 插件逻辑并将启动脚本统一指向 </w:t>
      </w:r>
      <w:r>
        <w:rPr>
          <w:rFonts w:ascii="Consolas" w:hAnsi="Consolas" w:eastAsia="微软雅黑"/>
          <w:b/>
          <w:i w:val="0"/>
          <w:color w:val="1A56A0"/>
          <w:sz w:val="22"/>
        </w:rPr>
        <w:t>main.py</w:t>
      </w:r>
      <w:r>
        <w:rPr>
          <w:rFonts w:ascii="Calibri" w:hAnsi="Calibri" w:eastAsia="微软雅黑"/>
          <w:b w:val="0"/>
          <w:i w:val="0"/>
          <w:color w:val="1E293B"/>
          <w:sz w:val="22"/>
        </w:rPr>
        <w:t>。</w:t>
      </w:r>
    </w:p>
    <w:p>
      <w:pPr>
        <w:keepNext/>
        <w:spacing w:before="320" w:after="120"/>
        <w:pBdr>
          <w:bottom w:val="single" w:sz="12" w:space="4" w:color="0F2C59"/>
        </w:pBdr>
      </w:pPr>
      <w:r>
        <w:rPr>
          <w:rFonts w:ascii="Calibri" w:hAnsi="Calibri" w:eastAsia="微软雅黑"/>
          <w:b/>
          <w:i w:val="0"/>
          <w:color w:val="0F2C59"/>
          <w:sz w:val="32"/>
        </w:rPr>
        <w:t>三、 审计算子矩阵与会计专业逻辑升级（攻克外部盲测难点）</w:t>
      </w:r>
    </w:p>
    <w:p>
      <w:pPr>
        <w:spacing w:before="0" w:after="120" w:line="276" w:lineRule="auto"/>
      </w:pPr>
      <w:r>
        <w:rPr>
          <w:rFonts w:ascii="Calibri" w:hAnsi="Calibri" w:eastAsia="微软雅黑"/>
          <w:b w:val="0"/>
          <w:i w:val="0"/>
          <w:color w:val="1E293B"/>
          <w:sz w:val="22"/>
        </w:rPr>
        <w:t xml:space="preserve">在 </w:t>
      </w:r>
      <w:r>
        <w:rPr>
          <w:rFonts w:ascii="Consolas" w:hAnsi="Consolas" w:eastAsia="微软雅黑"/>
          <w:b/>
          <w:i w:val="0"/>
          <w:color w:val="1A56A0"/>
          <w:sz w:val="22"/>
        </w:rPr>
        <w:t>v2.2</w:t>
      </w:r>
      <w:r>
        <w:rPr>
          <w:rFonts w:ascii="Calibri" w:hAnsi="Calibri" w:eastAsia="微软雅黑"/>
          <w:b w:val="0"/>
          <w:i w:val="0"/>
          <w:color w:val="1E293B"/>
          <w:sz w:val="22"/>
        </w:rPr>
        <w:t xml:space="preserve"> 的 14 例外部盲测集（</w:t>
      </w:r>
      <w:r>
        <w:rPr>
          <w:rFonts w:ascii="Consolas" w:hAnsi="Consolas" w:eastAsia="微软雅黑"/>
          <w:b/>
          <w:i w:val="0"/>
          <w:color w:val="1A56A0"/>
          <w:sz w:val="22"/>
        </w:rPr>
        <w:t>data/cases/blind/blind_cases.json</w:t>
      </w:r>
      <w:r>
        <w:rPr>
          <w:rFonts w:ascii="Calibri" w:hAnsi="Calibri" w:eastAsia="微软雅黑"/>
          <w:b w:val="0"/>
          <w:i w:val="0"/>
          <w:color w:val="1E293B"/>
          <w:sz w:val="22"/>
        </w:rPr>
        <w:t>）测试中，虽然舞弊公司检出率达到 9/10（离线）和 10/10（在线），但</w:t>
      </w:r>
      <w:r>
        <w:rPr>
          <w:rFonts w:ascii="Calibri" w:hAnsi="Calibri" w:eastAsia="微软雅黑"/>
          <w:b/>
          <w:i w:val="0"/>
          <w:color w:val="B91C1C"/>
          <w:sz w:val="22"/>
        </w:rPr>
        <w:t>真值金额误差 ≤1% 的准确率在离线模式下仅为 1/19（5.3%），在线模式下仅为 5/19（26.3%），且在线模式在 4 家合规对照企业上出现 4/4 误报</w:t>
      </w:r>
      <w:r>
        <w:rPr>
          <w:rFonts w:ascii="Calibri" w:hAnsi="Calibri" w:eastAsia="微软雅黑"/>
          <w:b w:val="0"/>
          <w:i w:val="0"/>
          <w:color w:val="1E293B"/>
          <w:sz w:val="22"/>
        </w:rPr>
        <w:t>。下图直观展示了当前外部盲测的性能瓶颈与本方案实施后的预期提升效果：</w:t>
      </w:r>
    </w:p>
    <w:p>
      <w:pPr>
        <w:keepNext/>
        <w:spacing w:before="80" w:after="40"/>
        <w:jc w:val="center"/>
      </w:pPr>
      <w:r>
        <w:drawing>
          <wp:inline xmlns:a="http://schemas.openxmlformats.org/drawingml/2006/main" xmlns:pic="http://schemas.openxmlformats.org/drawingml/2006/picture">
            <wp:extent cx="5669280" cy="2649280"/>
            <wp:docPr id="1" name="Picture 1"/>
            <wp:cNvGraphicFramePr>
              <a:graphicFrameLocks noChangeAspect="1"/>
            </wp:cNvGraphicFramePr>
            <a:graphic>
              <a:graphicData uri="http://schemas.openxmlformats.org/drawingml/2006/picture">
                <pic:pic>
                  <pic:nvPicPr>
                    <pic:cNvPr id="0" name="blind_benchmark_chart.png"/>
                    <pic:cNvPicPr/>
                  </pic:nvPicPr>
                  <pic:blipFill>
                    <a:blip r:embed="rId24"/>
                    <a:stretch>
                      <a:fillRect/>
                    </a:stretch>
                  </pic:blipFill>
                  <pic:spPr>
                    <a:xfrm>
                      <a:off x="0" y="0"/>
                      <a:ext cx="5669280" cy="2649280"/>
                    </a:xfrm>
                    <a:prstGeom prst="rect"/>
                  </pic:spPr>
                </pic:pic>
              </a:graphicData>
            </a:graphic>
          </wp:inline>
        </w:drawing>
      </w:r>
    </w:p>
    <w:p>
      <w:pPr>
        <w:spacing w:before="0" w:after="160"/>
        <w:jc w:val="center"/>
      </w:pPr>
      <w:r>
        <w:rPr>
          <w:rFonts w:ascii="Calibri" w:hAnsi="Calibri" w:eastAsia="微软雅黑"/>
          <w:b w:val="0"/>
          <w:i/>
          <w:color w:val="475569"/>
          <w:sz w:val="19"/>
        </w:rPr>
        <w:t>图 1：DeepSeek-AuditMind 在 14 例独立外部盲测集上的现状瓶颈（金额精度与合规误报）及改进后目标对比</w:t>
      </w:r>
    </w:p>
    <w:p>
      <w:pPr>
        <w:keepNext/>
        <w:spacing w:before="240" w:after="80"/>
      </w:pPr>
      <w:r>
        <w:rPr>
          <w:rFonts w:ascii="Calibri" w:hAnsi="Calibri" w:eastAsia="微软雅黑"/>
          <w:b/>
          <w:i w:val="0"/>
          <w:color w:val="1A56A0"/>
          <w:sz w:val="26"/>
        </w:rPr>
        <w:t>1. 根治“价税合计 vs. 不含税收入净额”与“复合凭证累加”口径偏差</w:t>
      </w:r>
    </w:p>
    <w:p>
      <w:pPr>
        <w:pStyle w:val="ListBullet"/>
        <w:spacing w:before="20" w:after="80" w:line="276" w:lineRule="auto"/>
      </w:pPr>
      <w:r>
        <w:rPr>
          <w:rFonts w:ascii="Calibri" w:hAnsi="Calibri" w:eastAsia="微软雅黑"/>
          <w:b/>
          <w:i w:val="0"/>
          <w:color w:val="1E293B"/>
          <w:sz w:val="22"/>
        </w:rPr>
        <w:t>病根剖析：</w:t>
      </w:r>
      <w:r>
        <w:rPr>
          <w:rFonts w:ascii="Calibri" w:hAnsi="Calibri" w:eastAsia="微软雅黑"/>
          <w:b w:val="0"/>
          <w:i w:val="0"/>
          <w:color w:val="1E293B"/>
          <w:sz w:val="22"/>
        </w:rPr>
        <w:t>证监会行政处罚决定书认定的“虚增营业收入”全部为</w:t>
      </w:r>
      <w:r>
        <w:rPr>
          <w:rFonts w:ascii="Calibri" w:hAnsi="Calibri" w:eastAsia="微软雅黑"/>
          <w:b/>
          <w:i w:val="0"/>
          <w:color w:val="0F2C59"/>
          <w:sz w:val="22"/>
        </w:rPr>
        <w:t>不含增值税的主营业务收入净额</w:t>
      </w:r>
      <w:r>
        <w:rPr>
          <w:rFonts w:ascii="Calibri" w:hAnsi="Calibri" w:eastAsia="微软雅黑"/>
          <w:b w:val="0"/>
          <w:i w:val="0"/>
          <w:color w:val="1E293B"/>
          <w:sz w:val="22"/>
        </w:rPr>
        <w:t xml:space="preserve">（即凭证中 </w:t>
      </w:r>
      <w:r>
        <w:rPr>
          <w:rFonts w:ascii="Consolas" w:hAnsi="Consolas" w:eastAsia="微软雅黑"/>
          <w:b/>
          <w:i w:val="0"/>
          <w:color w:val="1A56A0"/>
          <w:sz w:val="22"/>
        </w:rPr>
        <w:t>6001 主营业务收入</w:t>
      </w:r>
      <w:r>
        <w:rPr>
          <w:rFonts w:ascii="Calibri" w:hAnsi="Calibri" w:eastAsia="微软雅黑"/>
          <w:b w:val="0"/>
          <w:i w:val="0"/>
          <w:color w:val="1E293B"/>
          <w:sz w:val="22"/>
        </w:rPr>
        <w:t xml:space="preserve"> 贷方发生额或发票 </w:t>
      </w:r>
      <w:r>
        <w:rPr>
          <w:rFonts w:ascii="Consolas" w:hAnsi="Consolas" w:eastAsia="微软雅黑"/>
          <w:b/>
          <w:i w:val="0"/>
          <w:color w:val="1A56A0"/>
          <w:sz w:val="22"/>
        </w:rPr>
        <w:t>amount_without_tax</w:t>
      </w:r>
      <w:r>
        <w:rPr>
          <w:rFonts w:ascii="Calibri" w:hAnsi="Calibri" w:eastAsia="微软雅黑"/>
          <w:b w:val="0"/>
          <w:i w:val="0"/>
          <w:color w:val="1E293B"/>
          <w:sz w:val="22"/>
        </w:rPr>
        <w:t xml:space="preserve">）。例如盲测集 </w:t>
      </w:r>
      <w:r>
        <w:rPr>
          <w:rFonts w:ascii="Consolas" w:hAnsi="Consolas" w:eastAsia="微软雅黑"/>
          <w:b/>
          <w:i w:val="0"/>
          <w:color w:val="1A56A0"/>
          <w:sz w:val="22"/>
        </w:rPr>
        <w:t>BLIND_001</w:t>
      </w:r>
      <w:r>
        <w:rPr>
          <w:rFonts w:ascii="Calibri" w:hAnsi="Calibri" w:eastAsia="微软雅黑"/>
          <w:b w:val="0"/>
          <w:i w:val="0"/>
          <w:color w:val="1E293B"/>
          <w:sz w:val="22"/>
        </w:rPr>
        <w:t xml:space="preserve"> 泽达易盛虚增收入真值为 </w:t>
      </w:r>
      <w:r>
        <w:rPr>
          <w:rFonts w:ascii="Consolas" w:hAnsi="Consolas" w:eastAsia="微软雅黑"/>
          <w:b/>
          <w:i w:val="0"/>
          <w:color w:val="1A56A0"/>
          <w:sz w:val="22"/>
        </w:rPr>
        <w:t>152,168,610.58</w:t>
      </w:r>
      <w:r>
        <w:rPr>
          <w:rFonts w:ascii="Calibri" w:hAnsi="Calibri" w:eastAsia="微软雅黑"/>
          <w:b w:val="0"/>
          <w:i w:val="0"/>
          <w:color w:val="1E293B"/>
          <w:sz w:val="22"/>
        </w:rPr>
        <w:t xml:space="preserve"> 元（3 张凭证 </w:t>
      </w:r>
      <w:r>
        <w:rPr>
          <w:rFonts w:ascii="Consolas" w:hAnsi="Consolas" w:eastAsia="微软雅黑"/>
          <w:b/>
          <w:i w:val="0"/>
          <w:color w:val="1A56A0"/>
          <w:sz w:val="22"/>
        </w:rPr>
        <w:t>6001</w:t>
      </w:r>
      <w:r>
        <w:rPr>
          <w:rFonts w:ascii="Calibri" w:hAnsi="Calibri" w:eastAsia="微软雅黑"/>
          <w:b w:val="0"/>
          <w:i w:val="0"/>
          <w:color w:val="1E293B"/>
          <w:sz w:val="22"/>
        </w:rPr>
        <w:t xml:space="preserve"> 贷方之和），而现有代码 </w:t>
      </w:r>
      <w:r>
        <w:rPr>
          <w:rFonts w:ascii="Consolas" w:hAnsi="Consolas" w:eastAsia="微软雅黑"/>
          <w:b/>
          <w:i w:val="0"/>
          <w:color w:val="1A56A0"/>
          <w:sz w:val="22"/>
        </w:rPr>
        <w:t>tools.py</w:t>
      </w:r>
      <w:r>
        <w:rPr>
          <w:rFonts w:ascii="Calibri" w:hAnsi="Calibri" w:eastAsia="微软雅黑"/>
          <w:b w:val="0"/>
          <w:i w:val="0"/>
          <w:color w:val="1E293B"/>
          <w:sz w:val="22"/>
        </w:rPr>
        <w:t xml:space="preserve"> 使用 </w:t>
      </w:r>
      <w:r>
        <w:rPr>
          <w:rFonts w:ascii="Consolas" w:hAnsi="Consolas" w:eastAsia="微软雅黑"/>
          <w:b/>
          <w:i w:val="0"/>
          <w:color w:val="1A56A0"/>
          <w:sz w:val="22"/>
        </w:rPr>
        <w:t>v_amount = max(sum(debit), sum(credit))</w:t>
      </w:r>
      <w:r>
        <w:rPr>
          <w:rFonts w:ascii="Calibri" w:hAnsi="Calibri" w:eastAsia="微软雅黑"/>
          <w:b w:val="0"/>
          <w:i w:val="0"/>
          <w:color w:val="1E293B"/>
          <w:sz w:val="22"/>
        </w:rPr>
        <w:t xml:space="preserve"> 取借方含 6% 销项税的应收账款总额，甚至在复合凭证 </w:t>
      </w:r>
      <w:r>
        <w:rPr>
          <w:rFonts w:ascii="Consolas" w:hAnsi="Consolas" w:eastAsia="微软雅黑"/>
          <w:b/>
          <w:i w:val="0"/>
          <w:color w:val="1A56A0"/>
          <w:sz w:val="22"/>
        </w:rPr>
        <w:t>记-2020-1226</w:t>
      </w:r>
      <w:r>
        <w:rPr>
          <w:rFonts w:ascii="Calibri" w:hAnsi="Calibri" w:eastAsia="微软雅黑"/>
          <w:b w:val="0"/>
          <w:i w:val="0"/>
          <w:color w:val="1E293B"/>
          <w:sz w:val="22"/>
        </w:rPr>
        <w:t xml:space="preserve"> 中把同时记录的 </w:t>
      </w:r>
      <w:r>
        <w:rPr>
          <w:rFonts w:ascii="Consolas" w:hAnsi="Consolas" w:eastAsia="微软雅黑"/>
          <w:b/>
          <w:i w:val="0"/>
          <w:color w:val="1A56A0"/>
          <w:sz w:val="22"/>
        </w:rPr>
        <w:t>6401 主营业务成本 17,599,400.24 元</w:t>
      </w:r>
      <w:r>
        <w:rPr>
          <w:rFonts w:ascii="Calibri" w:hAnsi="Calibri" w:eastAsia="微软雅黑"/>
          <w:b w:val="0"/>
          <w:i w:val="0"/>
          <w:color w:val="1E293B"/>
          <w:sz w:val="22"/>
        </w:rPr>
        <w:t xml:space="preserve"> 也加进了凭证总额！含税额与成本叠加导致输出金额偏离真值 6%–40%，在 ≤1% 严格评测下全军覆没。</w:t>
      </w:r>
    </w:p>
    <w:p>
      <w:pPr>
        <w:pStyle w:val="ListBullet"/>
        <w:spacing w:before="20" w:after="160" w:line="276" w:lineRule="auto"/>
      </w:pPr>
      <w:r>
        <w:rPr>
          <w:rFonts w:ascii="Calibri" w:hAnsi="Calibri" w:eastAsia="微软雅黑"/>
          <w:b/>
          <w:i w:val="0"/>
          <w:color w:val="1E293B"/>
          <w:sz w:val="22"/>
        </w:rPr>
        <w:t>改进算法：</w:t>
      </w:r>
      <w:r>
        <w:rPr>
          <w:rFonts w:ascii="Calibri" w:hAnsi="Calibri" w:eastAsia="微软雅黑"/>
          <w:b w:val="0"/>
          <w:i w:val="0"/>
          <w:color w:val="1E293B"/>
          <w:sz w:val="22"/>
        </w:rPr>
        <w:t xml:space="preserve">在 </w:t>
      </w:r>
      <w:r>
        <w:rPr>
          <w:rFonts w:ascii="Consolas" w:hAnsi="Consolas" w:eastAsia="微软雅黑"/>
          <w:b/>
          <w:i w:val="0"/>
          <w:color w:val="1A56A0"/>
          <w:sz w:val="22"/>
        </w:rPr>
        <w:t>src/plugins/audit_fraud_plugin/tools.py</w:t>
      </w:r>
      <w:r>
        <w:rPr>
          <w:rFonts w:ascii="Calibri" w:hAnsi="Calibri" w:eastAsia="微软雅黑"/>
          <w:b w:val="0"/>
          <w:i w:val="0"/>
          <w:color w:val="1E293B"/>
          <w:sz w:val="22"/>
        </w:rPr>
        <w:t xml:space="preserve"> 中新增按会计科目前缀精确拆解金额的算子：</w:t>
      </w:r>
      <w:r>
        <w:rPr>
          <w:rFonts w:ascii="Calibri" w:hAnsi="Calibri" w:eastAsia="微软雅黑"/>
          <w:b w:val="0"/>
          <w:i w:val="0"/>
          <w:color w:val="1E293B"/>
          <w:sz w:val="22"/>
        </w:rPr>
        <w:t xml:space="preserve">① 针对收入舞弊类发现项，严格汇总涉案凭证中 </w:t>
      </w:r>
      <w:r>
        <w:rPr>
          <w:rFonts w:ascii="Consolas" w:hAnsi="Consolas" w:eastAsia="微软雅黑"/>
          <w:b/>
          <w:i w:val="0"/>
          <w:color w:val="1A56A0"/>
          <w:sz w:val="22"/>
        </w:rPr>
        <w:t>6001/6051</w:t>
      </w:r>
      <w:r>
        <w:rPr>
          <w:rFonts w:ascii="Calibri" w:hAnsi="Calibri" w:eastAsia="微软雅黑"/>
          <w:b w:val="0"/>
          <w:i w:val="0"/>
          <w:color w:val="1E293B"/>
          <w:sz w:val="22"/>
        </w:rPr>
        <w:t xml:space="preserve"> 科目的贷方净发生额（不含税口径）作为 </w:t>
      </w:r>
      <w:r>
        <w:rPr>
          <w:rFonts w:ascii="Consolas" w:hAnsi="Consolas" w:eastAsia="微软雅黑"/>
          <w:b/>
          <w:i w:val="0"/>
          <w:color w:val="1A56A0"/>
          <w:sz w:val="22"/>
        </w:rPr>
        <w:t>impact_amount</w:t>
      </w:r>
      <w:r>
        <w:rPr>
          <w:rFonts w:ascii="Calibri" w:hAnsi="Calibri" w:eastAsia="微软雅黑"/>
          <w:b w:val="0"/>
          <w:i w:val="0"/>
          <w:color w:val="1E293B"/>
          <w:sz w:val="22"/>
        </w:rPr>
        <w:t>，同时在描述中附注含税应收敞口；</w:t>
      </w:r>
      <w:r>
        <w:rPr>
          <w:rFonts w:ascii="Calibri" w:hAnsi="Calibri" w:eastAsia="微软雅黑"/>
          <w:b w:val="0"/>
          <w:i w:val="0"/>
          <w:color w:val="1E293B"/>
          <w:sz w:val="22"/>
        </w:rPr>
        <w:t xml:space="preserve">② 针对存货/固定资产/货币资金/预付占用类发现项，分别按 </w:t>
      </w:r>
      <w:r>
        <w:rPr>
          <w:rFonts w:ascii="Consolas" w:hAnsi="Consolas" w:eastAsia="微软雅黑"/>
          <w:b/>
          <w:i w:val="0"/>
          <w:color w:val="1A56A0"/>
          <w:sz w:val="22"/>
        </w:rPr>
        <w:t>1405/1406</w:t>
      </w:r>
      <w:r>
        <w:rPr>
          <w:rFonts w:ascii="Calibri" w:hAnsi="Calibri" w:eastAsia="微软雅黑"/>
          <w:b w:val="0"/>
          <w:i w:val="0"/>
          <w:color w:val="1E293B"/>
          <w:sz w:val="22"/>
        </w:rPr>
        <w:t>、</w:t>
      </w:r>
      <w:r>
        <w:rPr>
          <w:rFonts w:ascii="Consolas" w:hAnsi="Consolas" w:eastAsia="微软雅黑"/>
          <w:b/>
          <w:i w:val="0"/>
          <w:color w:val="1A56A0"/>
          <w:sz w:val="22"/>
        </w:rPr>
        <w:t>1601</w:t>
      </w:r>
      <w:r>
        <w:rPr>
          <w:rFonts w:ascii="Calibri" w:hAnsi="Calibri" w:eastAsia="微软雅黑"/>
          <w:b w:val="0"/>
          <w:i w:val="0"/>
          <w:color w:val="1E293B"/>
          <w:sz w:val="22"/>
        </w:rPr>
        <w:t>、</w:t>
      </w:r>
      <w:r>
        <w:rPr>
          <w:rFonts w:ascii="Consolas" w:hAnsi="Consolas" w:eastAsia="微软雅黑"/>
          <w:b/>
          <w:i w:val="0"/>
          <w:color w:val="1A56A0"/>
          <w:sz w:val="22"/>
        </w:rPr>
        <w:t>1002/1012</w:t>
      </w:r>
      <w:r>
        <w:rPr>
          <w:rFonts w:ascii="Calibri" w:hAnsi="Calibri" w:eastAsia="微软雅黑"/>
          <w:b w:val="0"/>
          <w:i w:val="0"/>
          <w:color w:val="1E293B"/>
          <w:sz w:val="22"/>
        </w:rPr>
        <w:t>、</w:t>
      </w:r>
      <w:r>
        <w:rPr>
          <w:rFonts w:ascii="Consolas" w:hAnsi="Consolas" w:eastAsia="微软雅黑"/>
          <w:b/>
          <w:i w:val="0"/>
          <w:color w:val="1A56A0"/>
          <w:sz w:val="22"/>
        </w:rPr>
        <w:t>1123/1221/1811</w:t>
      </w:r>
      <w:r>
        <w:rPr>
          <w:rFonts w:ascii="Calibri" w:hAnsi="Calibri" w:eastAsia="微软雅黑"/>
          <w:b w:val="0"/>
          <w:i w:val="0"/>
          <w:color w:val="1E293B"/>
          <w:sz w:val="22"/>
        </w:rPr>
        <w:t xml:space="preserve"> 科目发生额聚合；</w:t>
      </w:r>
      <w:r>
        <w:rPr>
          <w:rFonts w:ascii="Calibri" w:hAnsi="Calibri" w:eastAsia="微软雅黑"/>
          <w:b w:val="0"/>
          <w:i w:val="0"/>
          <w:color w:val="1E293B"/>
          <w:sz w:val="22"/>
        </w:rPr>
        <w:t>③ 支持同一舞弊手法下多张同构异常凭证（如某公司年内 3 笔同类虚构项目收入）的科目级合计，彻底打通金额精度最后一步。</w:t>
      </w:r>
    </w:p>
    <w:p>
      <w:pPr>
        <w:keepNext/>
        <w:spacing w:before="240" w:after="80"/>
      </w:pPr>
      <w:r>
        <w:rPr>
          <w:rFonts w:ascii="Calibri" w:hAnsi="Calibri" w:eastAsia="微软雅黑"/>
          <w:b/>
          <w:i w:val="0"/>
          <w:color w:val="1A56A0"/>
          <w:sz w:val="26"/>
        </w:rPr>
        <w:t>2. 补齐 4 大资本市场高发舞弊形态的确定性算子</w:t>
      </w:r>
    </w:p>
    <w:p>
      <w:pPr>
        <w:spacing w:before="0" w:after="120" w:line="276" w:lineRule="auto"/>
      </w:pPr>
      <w:r>
        <w:rPr>
          <w:rFonts w:ascii="Calibri" w:hAnsi="Calibri" w:eastAsia="微软雅黑"/>
          <w:b w:val="0"/>
          <w:i w:val="0"/>
          <w:color w:val="1E293B"/>
          <w:sz w:val="22"/>
        </w:rPr>
        <w:t xml:space="preserve">当前 </w:t>
      </w:r>
      <w:r>
        <w:rPr>
          <w:rFonts w:ascii="Consolas" w:hAnsi="Consolas" w:eastAsia="微软雅黑"/>
          <w:b/>
          <w:i w:val="0"/>
          <w:color w:val="1A56A0"/>
          <w:sz w:val="22"/>
        </w:rPr>
        <w:t>perform_three_way_reconciliation</w:t>
      </w:r>
      <w:r>
        <w:rPr>
          <w:rFonts w:ascii="Calibri" w:hAnsi="Calibri" w:eastAsia="微软雅黑"/>
          <w:b w:val="0"/>
          <w:i w:val="0"/>
          <w:color w:val="1E293B"/>
          <w:sz w:val="22"/>
        </w:rPr>
        <w:t xml:space="preserve"> 过度依赖单据号是否存在及银行流水附言中是否含有 </w:t>
      </w:r>
      <w:r>
        <w:rPr>
          <w:rFonts w:ascii="Consolas" w:hAnsi="Consolas" w:eastAsia="微软雅黑"/>
          <w:b/>
          <w:i w:val="0"/>
          <w:color w:val="1A56A0"/>
          <w:sz w:val="22"/>
        </w:rPr>
        <w:t>"伪造" / "虚构"</w:t>
      </w:r>
      <w:r>
        <w:rPr>
          <w:rFonts w:ascii="Calibri" w:hAnsi="Calibri" w:eastAsia="微软雅黑"/>
          <w:b w:val="0"/>
          <w:i w:val="0"/>
          <w:color w:val="1E293B"/>
          <w:sz w:val="22"/>
        </w:rPr>
        <w:t xml:space="preserve"> 等自爆式关键词。针对外部盲测集中暴露的 4 类高隐蔽舞弊，建议在 </w:t>
      </w:r>
      <w:r>
        <w:rPr>
          <w:rFonts w:ascii="Consolas" w:hAnsi="Consolas" w:eastAsia="微软雅黑"/>
          <w:b/>
          <w:i w:val="0"/>
          <w:color w:val="1A56A0"/>
          <w:sz w:val="22"/>
        </w:rPr>
        <w:t>tools.py</w:t>
      </w:r>
      <w:r>
        <w:rPr>
          <w:rFonts w:ascii="Calibri" w:hAnsi="Calibri" w:eastAsia="微软雅黑"/>
          <w:b w:val="0"/>
          <w:i w:val="0"/>
          <w:color w:val="1E293B"/>
          <w:sz w:val="22"/>
        </w:rPr>
        <w:t xml:space="preserve"> 与 </w:t>
      </w:r>
      <w:r>
        <w:rPr>
          <w:rFonts w:ascii="Consolas" w:hAnsi="Consolas" w:eastAsia="微软雅黑"/>
          <w:b/>
          <w:i w:val="0"/>
          <w:color w:val="1A56A0"/>
          <w:sz w:val="22"/>
        </w:rPr>
        <w:t>analytics.py</w:t>
      </w:r>
      <w:r>
        <w:rPr>
          <w:rFonts w:ascii="Calibri" w:hAnsi="Calibri" w:eastAsia="微软雅黑"/>
          <w:b w:val="0"/>
          <w:i w:val="0"/>
          <w:color w:val="1E293B"/>
          <w:sz w:val="22"/>
        </w:rPr>
        <w:t xml:space="preserve"> 中新增以下 4 个纯确定性算子：</w:t>
      </w:r>
    </w:p>
    <w:tbl>
      <w:tblPr>
        <w:tblW w:type="auto" w:w="0"/>
        <w:jc w:val="center"/>
        <w:tblLayout w:type="fixed"/>
        <w:tblLook w:firstColumn="1" w:firstRow="1" w:lastColumn="0" w:lastRow="0" w:noHBand="0" w:noVBand="1" w:val="04A0"/>
        <w:tblBorders>
          <w:top w:val="single" w:sz="6" w:space="0" w:color="0F2C59"/>
          <w:left w:val="single" w:sz="4" w:space="0" w:color="CBD5E1"/>
          <w:bottom w:val="single" w:sz="8" w:space="0" w:color="0F2C59"/>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2232"/>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新增确定性算子名称</w:t>
            </w:r>
          </w:p>
        </w:tc>
        <w:tc>
          <w:tcPr>
            <w:tcW w:type="dxa" w:w="2232"/>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针对的舞弊形态与盲测案例</w:t>
            </w:r>
          </w:p>
        </w:tc>
        <w:tc>
          <w:tcPr>
            <w:tcW w:type="dxa" w:w="3168"/>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核心算法检测逻辑（零模型幻觉）</w:t>
            </w:r>
          </w:p>
        </w:tc>
        <w:tc>
          <w:tcPr>
            <w:tcW w:type="dxa" w:w="1728"/>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对齐会计/审计准则</w:t>
            </w:r>
          </w:p>
        </w:tc>
      </w:tr>
      <w:tr>
        <w:trPr>
          <w:cantSplit/>
        </w:trPr>
        <w:tc>
          <w:tcPr>
            <w:tcW w:type="dxa" w:w="2232"/>
            <w:vAlign w:val="top"/>
            <w:tcMar>
              <w:top w:w="80" w:type="dxa"/>
              <w:bottom w:w="80" w:type="dxa"/>
              <w:left w:w="100" w:type="dxa"/>
              <w:right w:w="100" w:type="dxa"/>
            </w:tcMar>
          </w:tcPr>
          <w:p>
            <w:pPr>
              <w:keepNext/>
              <w:spacing w:before="20" w:after="40" w:line="269" w:lineRule="auto"/>
            </w:pPr>
            <w:r>
              <w:rPr>
                <w:rFonts w:ascii="Consolas" w:hAnsi="Consolas" w:eastAsia="微软雅黑"/>
                <w:b/>
                <w:i w:val="0"/>
                <w:color w:val="1A56A0"/>
                <w:sz w:val="20"/>
              </w:rPr>
              <w:t>reconcile_cash_and_pledge</w:t>
            </w:r>
            <w:r>
              <w:rPr>
                <w:rFonts w:ascii="Calibri" w:hAnsi="Calibri" w:eastAsia="微软雅黑"/>
                <w:b w:val="0"/>
                <w:i w:val="0"/>
                <w:color w:val="1E293B"/>
                <w:sz w:val="20"/>
              </w:rPr>
              <w:br/>
              <w:t>银企账实核对与受限资金算子</w:t>
            </w:r>
          </w:p>
        </w:tc>
        <w:tc>
          <w:tcPr>
            <w:tcW w:type="dxa" w:w="2232"/>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凭假入账单/假回单虚增存款、虚假计提定期利息、存单质押担保未披露（</w:t>
            </w:r>
            <w:r>
              <w:rPr>
                <w:rFonts w:ascii="Consolas" w:hAnsi="Consolas" w:eastAsia="微软雅黑"/>
                <w:b/>
                <w:i w:val="0"/>
                <w:color w:val="1A56A0"/>
                <w:sz w:val="20"/>
              </w:rPr>
              <w:t>BLIND_002</w:t>
            </w:r>
            <w:r>
              <w:rPr>
                <w:rFonts w:ascii="Calibri" w:hAnsi="Calibri" w:eastAsia="微软雅黑"/>
                <w:b w:val="0"/>
                <w:i w:val="0"/>
                <w:color w:val="1E293B"/>
                <w:sz w:val="20"/>
              </w:rPr>
              <w:t xml:space="preserve"> 紫晶存储、</w:t>
            </w:r>
            <w:r>
              <w:rPr>
                <w:rFonts w:ascii="Consolas" w:hAnsi="Consolas" w:eastAsia="微软雅黑"/>
                <w:b/>
                <w:i w:val="0"/>
                <w:color w:val="1A56A0"/>
                <w:sz w:val="20"/>
              </w:rPr>
              <w:t>BLIND_005</w:t>
            </w:r>
            <w:r>
              <w:rPr>
                <w:rFonts w:ascii="Calibri" w:hAnsi="Calibri" w:eastAsia="微软雅黑"/>
                <w:b w:val="0"/>
                <w:i w:val="0"/>
                <w:color w:val="1E293B"/>
                <w:sz w:val="20"/>
              </w:rPr>
              <w:t xml:space="preserve"> 美尚生态、</w:t>
            </w:r>
            <w:r>
              <w:rPr>
                <w:rFonts w:ascii="Consolas" w:hAnsi="Consolas" w:eastAsia="微软雅黑"/>
                <w:b/>
                <w:i w:val="0"/>
                <w:color w:val="1A56A0"/>
                <w:sz w:val="20"/>
              </w:rPr>
              <w:t>BLIND_006</w:t>
            </w:r>
            <w:r>
              <w:rPr>
                <w:rFonts w:ascii="Calibri" w:hAnsi="Calibri" w:eastAsia="微软雅黑"/>
                <w:b w:val="0"/>
                <w:i w:val="0"/>
                <w:color w:val="1E293B"/>
                <w:sz w:val="20"/>
              </w:rPr>
              <w:t xml:space="preserve"> 柏堡龙、</w:t>
            </w:r>
            <w:r>
              <w:rPr>
                <w:rFonts w:ascii="Consolas" w:hAnsi="Consolas" w:eastAsia="微软雅黑"/>
                <w:b/>
                <w:i w:val="0"/>
                <w:color w:val="1A56A0"/>
                <w:sz w:val="20"/>
              </w:rPr>
              <w:t>BLIND_007</w:t>
            </w:r>
            <w:r>
              <w:rPr>
                <w:rFonts w:ascii="Calibri" w:hAnsi="Calibri" w:eastAsia="微软雅黑"/>
                <w:b w:val="0"/>
                <w:i w:val="0"/>
                <w:color w:val="1E293B"/>
                <w:sz w:val="20"/>
              </w:rPr>
              <w:t xml:space="preserve"> 易见股份）</w:t>
            </w:r>
          </w:p>
        </w:tc>
        <w:tc>
          <w:tcPr>
            <w:tcW w:type="dxa" w:w="3168"/>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 xml:space="preserve">1. 提取所有含 </w:t>
            </w:r>
            <w:r>
              <w:rPr>
                <w:rFonts w:ascii="Consolas" w:hAnsi="Consolas" w:eastAsia="微软雅黑"/>
                <w:b/>
                <w:i w:val="0"/>
                <w:color w:val="1A56A0"/>
                <w:sz w:val="20"/>
              </w:rPr>
              <w:t>1002 银行存款</w:t>
            </w:r>
            <w:r>
              <w:rPr>
                <w:rFonts w:ascii="Calibri" w:hAnsi="Calibri" w:eastAsia="微软雅黑"/>
                <w:b w:val="0"/>
                <w:i w:val="0"/>
                <w:color w:val="1E293B"/>
                <w:sz w:val="20"/>
              </w:rPr>
              <w:t xml:space="preserve"> 借方发生额的凭证，在 </w:t>
            </w:r>
            <w:r>
              <w:rPr>
                <w:rFonts w:ascii="Consolas" w:hAnsi="Consolas" w:eastAsia="微软雅黑"/>
                <w:b/>
                <w:i w:val="0"/>
                <w:color w:val="1A56A0"/>
                <w:sz w:val="20"/>
              </w:rPr>
              <w:t>bank_flows</w:t>
            </w:r>
            <w:r>
              <w:rPr>
                <w:rFonts w:ascii="Calibri" w:hAnsi="Calibri" w:eastAsia="微软雅黑"/>
                <w:b w:val="0"/>
                <w:i w:val="0"/>
                <w:color w:val="1E293B"/>
                <w:sz w:val="20"/>
              </w:rPr>
              <w:t xml:space="preserve"> 中按日期窗口（±5天）与金额（±0.1%）双向核对；若账面借记大额收款或千万级利息而银行对账单无对应流水，立即判定“银企账实不符（有账无流）”。</w:t>
              <w:br/>
              <w:t xml:space="preserve">2. 扫描 </w:t>
            </w:r>
            <w:r>
              <w:rPr>
                <w:rFonts w:ascii="Consolas" w:hAnsi="Consolas" w:eastAsia="微软雅黑"/>
                <w:b/>
                <w:i w:val="0"/>
                <w:color w:val="1A56A0"/>
                <w:sz w:val="20"/>
              </w:rPr>
              <w:t>1012 其他货币资金</w:t>
            </w:r>
            <w:r>
              <w:rPr>
                <w:rFonts w:ascii="Calibri" w:hAnsi="Calibri" w:eastAsia="微软雅黑"/>
                <w:b w:val="0"/>
                <w:i w:val="0"/>
                <w:color w:val="1E293B"/>
                <w:sz w:val="20"/>
              </w:rPr>
              <w:t xml:space="preserve"> 及合同交付条款，识别“质押/担保/联动归集”未披露风险。</w:t>
            </w:r>
          </w:p>
        </w:tc>
        <w:tc>
          <w:tcPr>
            <w:tcW w:type="dxa" w:w="1728"/>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CSA 1312（函证）</w:t>
              <w:br/>
              <w:t>CAS 22（金融工具）</w:t>
              <w:br/>
              <w:t>《上市公司监管指引第8号》</w:t>
            </w:r>
          </w:p>
        </w:tc>
      </w:tr>
      <w:tr>
        <w:trPr>
          <w:cantSplit/>
        </w:trPr>
        <w:tc>
          <w:tcPr>
            <w:tcW w:type="dxa" w:w="2232"/>
            <w:vAlign w:val="top"/>
            <w:tcMar>
              <w:top w:w="80" w:type="dxa"/>
              <w:bottom w:w="80" w:type="dxa"/>
              <w:left w:w="100" w:type="dxa"/>
              <w:right w:w="100" w:type="dxa"/>
            </w:tcMar>
            <w:shd w:fill="F4F6F9"/>
          </w:tcPr>
          <w:p>
            <w:pPr>
              <w:keepNext/>
              <w:spacing w:before="20" w:after="40" w:line="269" w:lineRule="auto"/>
            </w:pPr>
            <w:r>
              <w:rPr>
                <w:rFonts w:ascii="Consolas" w:hAnsi="Consolas" w:eastAsia="微软雅黑"/>
                <w:b/>
                <w:i w:val="0"/>
                <w:color w:val="1A56A0"/>
                <w:sz w:val="20"/>
              </w:rPr>
              <w:t>detect_back_to_back_trade</w:t>
            </w:r>
            <w:r>
              <w:rPr>
                <w:rFonts w:ascii="Calibri" w:hAnsi="Calibri" w:eastAsia="微软雅黑"/>
                <w:b w:val="0"/>
                <w:i w:val="0"/>
                <w:color w:val="1E293B"/>
                <w:sz w:val="20"/>
              </w:rPr>
              <w:br/>
              <w:t>无商业实质背靠背贸易算子</w:t>
            </w:r>
          </w:p>
        </w:tc>
        <w:tc>
          <w:tcPr>
            <w:tcW w:type="dxa" w:w="2232"/>
            <w:vAlign w:val="top"/>
            <w:tcMar>
              <w:top w:w="80" w:type="dxa"/>
              <w:bottom w:w="80" w:type="dxa"/>
              <w:left w:w="100" w:type="dxa"/>
              <w:right w:w="100" w:type="dxa"/>
            </w:tcMar>
            <w:shd w:fill="F4F6F9"/>
          </w:tcPr>
          <w:p>
            <w:pPr>
              <w:keepNext/>
              <w:spacing w:before="20" w:after="40" w:line="269" w:lineRule="auto"/>
            </w:pPr>
            <w:r>
              <w:rPr>
                <w:rFonts w:ascii="Calibri" w:hAnsi="Calibri" w:eastAsia="微软雅黑"/>
                <w:b w:val="0"/>
                <w:i w:val="0"/>
                <w:color w:val="1E293B"/>
                <w:sz w:val="20"/>
              </w:rPr>
              <w:t>同日购销、仓单/港内货权转移不移库、违规按总额法虚增营收（</w:t>
            </w:r>
            <w:r>
              <w:rPr>
                <w:rFonts w:ascii="Consolas" w:hAnsi="Consolas" w:eastAsia="微软雅黑"/>
                <w:b/>
                <w:i w:val="0"/>
                <w:color w:val="1A56A0"/>
                <w:sz w:val="20"/>
              </w:rPr>
              <w:t>BLIND_004</w:t>
            </w:r>
            <w:r>
              <w:rPr>
                <w:rFonts w:ascii="Calibri" w:hAnsi="Calibri" w:eastAsia="微软雅黑"/>
                <w:b w:val="0"/>
                <w:i w:val="0"/>
                <w:color w:val="1E293B"/>
                <w:sz w:val="20"/>
              </w:rPr>
              <w:t xml:space="preserve"> 锦州港、</w:t>
            </w:r>
            <w:r>
              <w:rPr>
                <w:rFonts w:ascii="Consolas" w:hAnsi="Consolas" w:eastAsia="微软雅黑"/>
                <w:b/>
                <w:i w:val="0"/>
                <w:color w:val="1A56A0"/>
                <w:sz w:val="20"/>
              </w:rPr>
              <w:t>BLIND_007</w:t>
            </w:r>
            <w:r>
              <w:rPr>
                <w:rFonts w:ascii="Calibri" w:hAnsi="Calibri" w:eastAsia="微软雅黑"/>
                <w:b w:val="0"/>
                <w:i w:val="0"/>
                <w:color w:val="1E293B"/>
                <w:sz w:val="20"/>
              </w:rPr>
              <w:t xml:space="preserve"> 易见股份、</w:t>
            </w:r>
            <w:r>
              <w:rPr>
                <w:rFonts w:ascii="Consolas" w:hAnsi="Consolas" w:eastAsia="微软雅黑"/>
                <w:b/>
                <w:i w:val="0"/>
                <w:color w:val="1A56A0"/>
                <w:sz w:val="20"/>
              </w:rPr>
              <w:t>BLIND_008</w:t>
            </w:r>
            <w:r>
              <w:rPr>
                <w:rFonts w:ascii="Calibri" w:hAnsi="Calibri" w:eastAsia="微软雅黑"/>
                <w:b w:val="0"/>
                <w:i w:val="0"/>
                <w:color w:val="1E293B"/>
                <w:sz w:val="20"/>
              </w:rPr>
              <w:t xml:space="preserve"> 凯乐科技）</w:t>
            </w:r>
          </w:p>
        </w:tc>
        <w:tc>
          <w:tcPr>
            <w:tcW w:type="dxa" w:w="3168"/>
            <w:vAlign w:val="top"/>
            <w:tcMar>
              <w:top w:w="80" w:type="dxa"/>
              <w:bottom w:w="80" w:type="dxa"/>
              <w:left w:w="100" w:type="dxa"/>
              <w:right w:w="100" w:type="dxa"/>
            </w:tcMar>
            <w:shd w:fill="F4F6F9"/>
          </w:tcPr>
          <w:p>
            <w:pPr>
              <w:keepNext/>
              <w:spacing w:before="20" w:after="40" w:line="269" w:lineRule="auto"/>
            </w:pPr>
            <w:r>
              <w:rPr>
                <w:rFonts w:ascii="Calibri" w:hAnsi="Calibri" w:eastAsia="微软雅黑"/>
                <w:b w:val="0"/>
                <w:i w:val="0"/>
                <w:color w:val="1E293B"/>
                <w:sz w:val="20"/>
              </w:rPr>
              <w:t>匹配短期窗口（≤7天）内相同品名的采购与销售凭证：若满足 ① 合同约定“港内货权转移/仓单转移/不实际移库/自提”；② 采购付款与销售回款同日或短期闭环进出；③ 进销毛利率极低（&lt;3%）或多笔毛利率高度恒定，判定为“无商业实质贸易，违规按总额法确认收入”。</w:t>
            </w:r>
          </w:p>
        </w:tc>
        <w:tc>
          <w:tcPr>
            <w:tcW w:type="dxa" w:w="1728"/>
            <w:vAlign w:val="top"/>
            <w:tcMar>
              <w:top w:w="80" w:type="dxa"/>
              <w:bottom w:w="80" w:type="dxa"/>
              <w:left w:w="100" w:type="dxa"/>
              <w:right w:w="100" w:type="dxa"/>
            </w:tcMar>
            <w:shd w:fill="F4F6F9"/>
          </w:tcPr>
          <w:p>
            <w:pPr>
              <w:keepNext/>
              <w:spacing w:before="20" w:after="40" w:line="269" w:lineRule="auto"/>
            </w:pPr>
            <w:r>
              <w:rPr>
                <w:rFonts w:ascii="Calibri" w:hAnsi="Calibri" w:eastAsia="微软雅黑"/>
                <w:b w:val="0"/>
                <w:i w:val="0"/>
                <w:color w:val="1E293B"/>
                <w:sz w:val="20"/>
              </w:rPr>
              <w:t>CAS 14 第五条（商业实质）</w:t>
              <w:br/>
              <w:t>CAS 14 第三十四条（主要责任人 vs 代理人）</w:t>
            </w:r>
          </w:p>
        </w:tc>
      </w:tr>
      <w:tr>
        <w:trPr>
          <w:cantSplit/>
        </w:trPr>
        <w:tc>
          <w:tcPr>
            <w:tcW w:type="dxa" w:w="2232"/>
            <w:vAlign w:val="top"/>
            <w:tcMar>
              <w:top w:w="80" w:type="dxa"/>
              <w:bottom w:w="80" w:type="dxa"/>
              <w:left w:w="100" w:type="dxa"/>
              <w:right w:w="100" w:type="dxa"/>
            </w:tcMar>
          </w:tcPr>
          <w:p>
            <w:pPr>
              <w:keepNext/>
              <w:spacing w:before="20" w:after="40" w:line="269" w:lineRule="auto"/>
            </w:pPr>
            <w:r>
              <w:rPr>
                <w:rFonts w:ascii="Consolas" w:hAnsi="Consolas" w:eastAsia="微软雅黑"/>
                <w:b/>
                <w:i w:val="0"/>
                <w:color w:val="1A56A0"/>
                <w:sz w:val="20"/>
              </w:rPr>
              <w:t>verify_cutoff_and_cost_match</w:t>
            </w:r>
            <w:r>
              <w:rPr>
                <w:rFonts w:ascii="Calibri" w:hAnsi="Calibri" w:eastAsia="微软雅黑"/>
                <w:b w:val="0"/>
                <w:i w:val="0"/>
                <w:color w:val="1E293B"/>
                <w:sz w:val="20"/>
              </w:rPr>
              <w:br/>
              <w:t>控制权时点与成本配比算子</w:t>
            </w:r>
          </w:p>
        </w:tc>
        <w:tc>
          <w:tcPr>
            <w:tcW w:type="dxa" w:w="2232"/>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未达终验提前确认收入、期后支付安装劳务款、已确认收入少结转发出商品成本（</w:t>
            </w:r>
            <w:r>
              <w:rPr>
                <w:rFonts w:ascii="Consolas" w:hAnsi="Consolas" w:eastAsia="微软雅黑"/>
                <w:b/>
                <w:i w:val="0"/>
                <w:color w:val="1A56A0"/>
                <w:sz w:val="20"/>
              </w:rPr>
              <w:t>BLIND_009</w:t>
            </w:r>
            <w:r>
              <w:rPr>
                <w:rFonts w:ascii="Calibri" w:hAnsi="Calibri" w:eastAsia="微软雅黑"/>
                <w:b w:val="0"/>
                <w:i w:val="0"/>
                <w:color w:val="1E293B"/>
                <w:sz w:val="20"/>
              </w:rPr>
              <w:t xml:space="preserve"> 荣联科技、</w:t>
            </w:r>
            <w:r>
              <w:rPr>
                <w:rFonts w:ascii="Consolas" w:hAnsi="Consolas" w:eastAsia="微软雅黑"/>
                <w:b/>
                <w:i w:val="0"/>
                <w:color w:val="1A56A0"/>
                <w:sz w:val="20"/>
              </w:rPr>
              <w:t>BLIND_010</w:t>
            </w:r>
            <w:r>
              <w:rPr>
                <w:rFonts w:ascii="Calibri" w:hAnsi="Calibri" w:eastAsia="微软雅黑"/>
                <w:b w:val="0"/>
                <w:i w:val="0"/>
                <w:color w:val="1E293B"/>
                <w:sz w:val="20"/>
              </w:rPr>
              <w:t xml:space="preserve"> 罗普特）</w:t>
            </w:r>
          </w:p>
        </w:tc>
        <w:tc>
          <w:tcPr>
            <w:tcW w:type="dxa" w:w="3168"/>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 xml:space="preserve">1. 按合同号聚合：若已确认 </w:t>
            </w:r>
            <w:r>
              <w:rPr>
                <w:rFonts w:ascii="Consolas" w:hAnsi="Consolas" w:eastAsia="微软雅黑"/>
                <w:b/>
                <w:i w:val="0"/>
                <w:color w:val="1A56A0"/>
                <w:sz w:val="20"/>
              </w:rPr>
              <w:t>6001</w:t>
            </w:r>
            <w:r>
              <w:rPr>
                <w:rFonts w:ascii="Calibri" w:hAnsi="Calibri" w:eastAsia="微软雅黑"/>
                <w:b w:val="0"/>
                <w:i w:val="0"/>
                <w:color w:val="1E293B"/>
                <w:sz w:val="20"/>
              </w:rPr>
              <w:t xml:space="preserve"> 收入，但前期借记的 </w:t>
            </w:r>
            <w:r>
              <w:rPr>
                <w:rFonts w:ascii="Consolas" w:hAnsi="Consolas" w:eastAsia="微软雅黑"/>
                <w:b/>
                <w:i w:val="0"/>
                <w:color w:val="1A56A0"/>
                <w:sz w:val="20"/>
              </w:rPr>
              <w:t>1406 发出商品</w:t>
            </w:r>
            <w:r>
              <w:rPr>
                <w:rFonts w:ascii="Calibri" w:hAnsi="Calibri" w:eastAsia="微软雅黑"/>
                <w:b w:val="0"/>
                <w:i w:val="0"/>
                <w:color w:val="1E293B"/>
                <w:sz w:val="20"/>
              </w:rPr>
              <w:t xml:space="preserve"> 未结转至 </w:t>
            </w:r>
            <w:r>
              <w:rPr>
                <w:rFonts w:ascii="Consolas" w:hAnsi="Consolas" w:eastAsia="微软雅黑"/>
                <w:b/>
                <w:i w:val="0"/>
                <w:color w:val="1A56A0"/>
                <w:sz w:val="20"/>
              </w:rPr>
              <w:t>6401 主营业务成本</w:t>
            </w:r>
            <w:r>
              <w:rPr>
                <w:rFonts w:ascii="Calibri" w:hAnsi="Calibri" w:eastAsia="微软雅黑"/>
                <w:b w:val="0"/>
                <w:i w:val="0"/>
                <w:color w:val="1E293B"/>
                <w:sz w:val="20"/>
              </w:rPr>
              <w:t>（以及维修备件调拨未结转），直接算出少结转成本金额。</w:t>
              <w:br/>
              <w:t>2. 若合同要求“终验/安装调试完成”转移控制权，但 12 月末仅凭“到货签收/初验”入账，或次年 1–3 月银行流水出现该项目安装分包付款，判定为“跨期提前确认收入”。</w:t>
            </w:r>
          </w:p>
        </w:tc>
        <w:tc>
          <w:tcPr>
            <w:tcW w:type="dxa" w:w="1728"/>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CAS 14 第四条、第十三条（控制权转移）</w:t>
              <w:br/>
              <w:t>CAS 14 第三十五条（合同履约成本配比）</w:t>
            </w:r>
          </w:p>
        </w:tc>
      </w:tr>
      <w:tr>
        <w:trPr>
          <w:cantSplit/>
        </w:trPr>
        <w:tc>
          <w:tcPr>
            <w:tcW w:type="dxa" w:w="2232"/>
            <w:vAlign w:val="top"/>
            <w:tcMar>
              <w:top w:w="80" w:type="dxa"/>
              <w:bottom w:w="80" w:type="dxa"/>
              <w:left w:w="100" w:type="dxa"/>
              <w:right w:w="100" w:type="dxa"/>
            </w:tcMar>
            <w:shd w:fill="F4F6F9"/>
          </w:tcPr>
          <w:p>
            <w:pPr>
              <w:spacing w:before="20" w:after="40" w:line="269" w:lineRule="auto"/>
            </w:pPr>
            <w:r>
              <w:rPr>
                <w:rFonts w:ascii="Consolas" w:hAnsi="Consolas" w:eastAsia="微软雅黑"/>
                <w:b/>
                <w:i w:val="0"/>
                <w:color w:val="1A56A0"/>
                <w:sz w:val="20"/>
              </w:rPr>
              <w:t>detect_third_party_and_prepay</w:t>
            </w:r>
            <w:r>
              <w:rPr>
                <w:rFonts w:ascii="Calibri" w:hAnsi="Calibri" w:eastAsia="微软雅黑"/>
                <w:b w:val="0"/>
                <w:i w:val="0"/>
                <w:color w:val="1E293B"/>
                <w:sz w:val="20"/>
              </w:rPr>
              <w:br/>
              <w:t>第三方代付与预付掏空算子</w:t>
            </w:r>
          </w:p>
        </w:tc>
        <w:tc>
          <w:tcPr>
            <w:tcW w:type="dxa" w:w="2232"/>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无关第三方代客户回款、以预付材料/设备/苗木款名义向关联方转移资金（</w:t>
            </w:r>
            <w:r>
              <w:rPr>
                <w:rFonts w:ascii="Consolas" w:hAnsi="Consolas" w:eastAsia="微软雅黑"/>
                <w:b/>
                <w:i w:val="0"/>
                <w:color w:val="1A56A0"/>
                <w:sz w:val="20"/>
              </w:rPr>
              <w:t>BLIND_002</w:t>
            </w:r>
            <w:r>
              <w:rPr>
                <w:rFonts w:ascii="Calibri" w:hAnsi="Calibri" w:eastAsia="微软雅黑"/>
                <w:b w:val="0"/>
                <w:i w:val="0"/>
                <w:color w:val="1E293B"/>
                <w:sz w:val="20"/>
              </w:rPr>
              <w:t xml:space="preserve"> 紫晶存储、</w:t>
            </w:r>
            <w:r>
              <w:rPr>
                <w:rFonts w:ascii="Consolas" w:hAnsi="Consolas" w:eastAsia="微软雅黑"/>
                <w:b/>
                <w:i w:val="0"/>
                <w:color w:val="1A56A0"/>
                <w:sz w:val="20"/>
              </w:rPr>
              <w:t>BLIND_003</w:t>
            </w:r>
            <w:r>
              <w:rPr>
                <w:rFonts w:ascii="Calibri" w:hAnsi="Calibri" w:eastAsia="微软雅黑"/>
                <w:b w:val="0"/>
                <w:i w:val="0"/>
                <w:color w:val="1E293B"/>
                <w:sz w:val="20"/>
              </w:rPr>
              <w:t xml:space="preserve"> 豫金刚石、</w:t>
            </w:r>
            <w:r>
              <w:rPr>
                <w:rFonts w:ascii="Consolas" w:hAnsi="Consolas" w:eastAsia="微软雅黑"/>
                <w:b/>
                <w:i w:val="0"/>
                <w:color w:val="1A56A0"/>
                <w:sz w:val="20"/>
              </w:rPr>
              <w:t>BLIND_005</w:t>
            </w:r>
            <w:r>
              <w:rPr>
                <w:rFonts w:ascii="Calibri" w:hAnsi="Calibri" w:eastAsia="微软雅黑"/>
                <w:b w:val="0"/>
                <w:i w:val="0"/>
                <w:color w:val="1E293B"/>
                <w:sz w:val="20"/>
              </w:rPr>
              <w:t xml:space="preserve"> 美尚生态）</w:t>
            </w:r>
          </w:p>
        </w:tc>
        <w:tc>
          <w:tcPr>
            <w:tcW w:type="dxa" w:w="3168"/>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 xml:space="preserve">1. 比对收款凭证贷方冲销的 </w:t>
            </w:r>
            <w:r>
              <w:rPr>
                <w:rFonts w:ascii="Consolas" w:hAnsi="Consolas" w:eastAsia="微软雅黑"/>
                <w:b/>
                <w:i w:val="0"/>
                <w:color w:val="1A56A0"/>
                <w:sz w:val="20"/>
              </w:rPr>
              <w:t>1122 应收账款-客户名</w:t>
            </w:r>
            <w:r>
              <w:rPr>
                <w:rFonts w:ascii="Calibri" w:hAnsi="Calibri" w:eastAsia="微软雅黑"/>
                <w:b w:val="0"/>
                <w:i w:val="0"/>
                <w:color w:val="1E293B"/>
                <w:sz w:val="20"/>
              </w:rPr>
              <w:t xml:space="preserve"> 与对应银行流入流水的 </w:t>
            </w:r>
            <w:r>
              <w:rPr>
                <w:rFonts w:ascii="Consolas" w:hAnsi="Consolas" w:eastAsia="微软雅黑"/>
                <w:b/>
                <w:i w:val="0"/>
                <w:color w:val="1A56A0"/>
                <w:sz w:val="20"/>
              </w:rPr>
              <w:t>counterparty_name</w:t>
            </w:r>
            <w:r>
              <w:rPr>
                <w:rFonts w:ascii="Calibri" w:hAnsi="Calibri" w:eastAsia="微软雅黑"/>
                <w:b w:val="0"/>
                <w:i w:val="0"/>
                <w:color w:val="1E293B"/>
                <w:sz w:val="20"/>
              </w:rPr>
              <w:t>（及附言“代…付”），不一致则标记“第三方异常代付回款”。</w:t>
              <w:br/>
              <w:t xml:space="preserve">2. 汇总 </w:t>
            </w:r>
            <w:r>
              <w:rPr>
                <w:rFonts w:ascii="Consolas" w:hAnsi="Consolas" w:eastAsia="微软雅黑"/>
                <w:b/>
                <w:i w:val="0"/>
                <w:color w:val="1A56A0"/>
                <w:sz w:val="20"/>
              </w:rPr>
              <w:t>1123 预付账款</w:t>
            </w:r>
            <w:r>
              <w:rPr>
                <w:rFonts w:ascii="Calibri" w:hAnsi="Calibri" w:eastAsia="微软雅黑"/>
                <w:b w:val="0"/>
                <w:i w:val="0"/>
                <w:color w:val="1E293B"/>
                <w:sz w:val="20"/>
              </w:rPr>
              <w:t xml:space="preserve"> 与 </w:t>
            </w:r>
            <w:r>
              <w:rPr>
                <w:rFonts w:ascii="Consolas" w:hAnsi="Consolas" w:eastAsia="微软雅黑"/>
                <w:b/>
                <w:i w:val="0"/>
                <w:color w:val="1A56A0"/>
                <w:sz w:val="20"/>
              </w:rPr>
              <w:t>1811 预付设备款</w:t>
            </w:r>
            <w:r>
              <w:rPr>
                <w:rFonts w:ascii="Calibri" w:hAnsi="Calibri" w:eastAsia="微软雅黑"/>
                <w:b w:val="0"/>
                <w:i w:val="0"/>
                <w:color w:val="1E293B"/>
                <w:sz w:val="20"/>
              </w:rPr>
              <w:t xml:space="preserve"> 借方发生额，对 100% 预付且长期无进项发票/入库单的交易标记“非经营性资金占用风险”。</w:t>
            </w:r>
          </w:p>
        </w:tc>
        <w:tc>
          <w:tcPr>
            <w:tcW w:type="dxa" w:w="1728"/>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CSA 1141（舞弊风险）</w:t>
              <w:br/>
              <w:t>CAS 36（关联方披露）</w:t>
            </w:r>
          </w:p>
        </w:tc>
      </w:tr>
    </w:tbl>
    <w:p>
      <w:pPr>
        <w:spacing w:before="0" w:after="120"/>
      </w:pPr>
    </w:p>
    <w:p>
      <w:pPr>
        <w:keepNext/>
        <w:spacing w:before="240" w:after="80"/>
      </w:pPr>
      <w:r>
        <w:rPr>
          <w:rFonts w:ascii="Calibri" w:hAnsi="Calibri" w:eastAsia="微软雅黑"/>
          <w:b/>
          <w:i w:val="0"/>
          <w:color w:val="1A56A0"/>
          <w:sz w:val="26"/>
        </w:rPr>
        <w:t>3. 引入 CSA 1221 审计重要性水平（Materiality），将在线模式合规组误报率降至 0%</w:t>
      </w:r>
    </w:p>
    <w:p>
      <w:pPr>
        <w:pStyle w:val="ListBullet"/>
        <w:spacing w:before="20" w:after="80" w:line="276" w:lineRule="auto"/>
      </w:pPr>
      <w:r>
        <w:rPr>
          <w:rFonts w:ascii="Calibri" w:hAnsi="Calibri" w:eastAsia="微软雅黑"/>
          <w:b/>
          <w:i w:val="0"/>
          <w:color w:val="1E293B"/>
          <w:sz w:val="22"/>
        </w:rPr>
        <w:t>误报根因：</w:t>
      </w:r>
      <w:r>
        <w:rPr>
          <w:rFonts w:ascii="Calibri" w:hAnsi="Calibri" w:eastAsia="微软雅黑"/>
          <w:b w:val="0"/>
          <w:i w:val="0"/>
          <w:color w:val="1E293B"/>
          <w:sz w:val="22"/>
        </w:rPr>
        <w:t>在盲测集 4 家合规对照企业中，海天味业（</w:t>
      </w:r>
      <w:r>
        <w:rPr>
          <w:rFonts w:ascii="Consolas" w:hAnsi="Consolas" w:eastAsia="微软雅黑"/>
          <w:b/>
          <w:i w:val="0"/>
          <w:color w:val="1A56A0"/>
          <w:sz w:val="22"/>
        </w:rPr>
        <w:t>BLIND_011</w:t>
      </w:r>
      <w:r>
        <w:rPr>
          <w:rFonts w:ascii="Calibri" w:hAnsi="Calibri" w:eastAsia="微软雅黑"/>
          <w:b w:val="0"/>
          <w:i w:val="0"/>
          <w:color w:val="1E293B"/>
          <w:sz w:val="22"/>
        </w:rPr>
        <w:t>）有一笔 850 万元的半年度广告费（直接凭银行付款回单入账，无合同编号），</w:t>
      </w:r>
      <w:r>
        <w:rPr>
          <w:rFonts w:ascii="Consolas" w:hAnsi="Consolas" w:eastAsia="微软雅黑"/>
          <w:b/>
          <w:i w:val="0"/>
          <w:color w:val="1A56A0"/>
          <w:sz w:val="22"/>
        </w:rPr>
        <w:t>deepseek-flash</w:t>
      </w:r>
      <w:r>
        <w:rPr>
          <w:rFonts w:ascii="Calibri" w:hAnsi="Calibri" w:eastAsia="微软雅黑"/>
          <w:b w:val="0"/>
          <w:i w:val="0"/>
          <w:color w:val="1E293B"/>
          <w:sz w:val="22"/>
        </w:rPr>
        <w:t xml:space="preserve"> 因缺乏企业体量参照系，将其误判为 HIGH 级舞弊风险。</w:t>
      </w:r>
    </w:p>
    <w:p>
      <w:pPr>
        <w:pStyle w:val="ListBullet"/>
        <w:spacing w:before="20" w:after="160" w:line="276" w:lineRule="auto"/>
      </w:pPr>
      <w:r>
        <w:rPr>
          <w:rFonts w:ascii="Calibri" w:hAnsi="Calibri" w:eastAsia="微软雅黑"/>
          <w:b/>
          <w:i w:val="0"/>
          <w:color w:val="1E293B"/>
          <w:sz w:val="22"/>
        </w:rPr>
        <w:t>重要性阈值与常规费用豁免规则：</w:t>
      </w:r>
      <w:r>
        <w:rPr>
          <w:rFonts w:ascii="Calibri" w:hAnsi="Calibri" w:eastAsia="微软雅黑"/>
          <w:b w:val="0"/>
          <w:i w:val="0"/>
          <w:color w:val="1E293B"/>
          <w:sz w:val="22"/>
        </w:rPr>
        <w:t xml:space="preserve">参考 </w:t>
      </w:r>
      <w:hyperlink r:id="rId15">
        <w:r>
          <w:rPr>
            <w:rFonts w:ascii="Calibri" w:hAnsi="Calibri" w:eastAsia="微软雅黑"/>
            <w:color w:val="1A56A0"/>
            <w:u w:val="single"/>
            <w:sz w:val="22"/>
            <w:szCs w:val="22"/>
          </w:rPr>
          <w:t>Numeric 的混合重要性阈值设计</w:t>
        </w:r>
      </w:hyperlink>
      <w:r>
        <w:rPr>
          <w:rFonts w:ascii="Calibri" w:hAnsi="Calibri" w:eastAsia="微软雅黑"/>
          <w:b w:val="0"/>
          <w:i w:val="0"/>
          <w:color w:val="1E293B"/>
          <w:sz w:val="22"/>
        </w:rPr>
        <w:t xml:space="preserve"> 与《中国注册会计师审计准则第1221号》，在 </w:t>
      </w:r>
      <w:r>
        <w:rPr>
          <w:rFonts w:ascii="Consolas" w:hAnsi="Consolas" w:eastAsia="微软雅黑"/>
          <w:b/>
          <w:i w:val="0"/>
          <w:color w:val="1A56A0"/>
          <w:sz w:val="22"/>
        </w:rPr>
        <w:t>execute_tools()</w:t>
      </w:r>
      <w:r>
        <w:rPr>
          <w:rFonts w:ascii="Calibri" w:hAnsi="Calibri" w:eastAsia="微软雅黑"/>
          <w:b w:val="0"/>
          <w:i w:val="0"/>
          <w:color w:val="1E293B"/>
          <w:sz w:val="22"/>
        </w:rPr>
        <w:t xml:space="preserve"> 中自动测算企业</w:t>
      </w:r>
      <w:r>
        <w:rPr>
          <w:rFonts w:ascii="Calibri" w:hAnsi="Calibri" w:eastAsia="微软雅黑"/>
          <w:b/>
          <w:i w:val="0"/>
          <w:color w:val="0F2C59"/>
          <w:sz w:val="22"/>
        </w:rPr>
        <w:t>整体重要性（Overall Materiality = 营业收入 × 0.5% 或主营业务收款总额 × 1%）</w:t>
      </w:r>
      <w:r>
        <w:rPr>
          <w:rFonts w:ascii="Calibri" w:hAnsi="Calibri" w:eastAsia="微软雅黑"/>
          <w:b w:val="0"/>
          <w:i w:val="0"/>
          <w:color w:val="1E293B"/>
          <w:sz w:val="22"/>
        </w:rPr>
        <w:t>与</w:t>
      </w:r>
      <w:r>
        <w:rPr>
          <w:rFonts w:ascii="Calibri" w:hAnsi="Calibri" w:eastAsia="微软雅黑"/>
          <w:b/>
          <w:i w:val="0"/>
          <w:color w:val="0F2C59"/>
          <w:sz w:val="22"/>
        </w:rPr>
        <w:t>实际执行重要性（Performance Materiality = 整体重要性 × 75%）</w:t>
      </w:r>
      <w:r>
        <w:rPr>
          <w:rFonts w:ascii="Calibri" w:hAnsi="Calibri" w:eastAsia="微软雅黑"/>
          <w:b w:val="0"/>
          <w:i w:val="0"/>
          <w:color w:val="1E293B"/>
          <w:sz w:val="22"/>
        </w:rPr>
        <w:t xml:space="preserve">，并在 </w:t>
      </w:r>
      <w:r>
        <w:rPr>
          <w:rFonts w:ascii="Consolas" w:hAnsi="Consolas" w:eastAsia="微软雅黑"/>
          <w:b/>
          <w:i w:val="0"/>
          <w:color w:val="1A56A0"/>
          <w:sz w:val="22"/>
        </w:rPr>
        <w:t>AUDIT_SYSTEM_PROMPT</w:t>
      </w:r>
      <w:r>
        <w:rPr>
          <w:rFonts w:ascii="Calibri" w:hAnsi="Calibri" w:eastAsia="微软雅黑"/>
          <w:b w:val="0"/>
          <w:i w:val="0"/>
          <w:color w:val="1E293B"/>
          <w:sz w:val="22"/>
        </w:rPr>
        <w:t xml:space="preserve"> 中明确规定：① 销售费用（</w:t>
      </w:r>
      <w:r>
        <w:rPr>
          <w:rFonts w:ascii="Consolas" w:hAnsi="Consolas" w:eastAsia="微软雅黑"/>
          <w:b/>
          <w:i w:val="0"/>
          <w:color w:val="1A56A0"/>
          <w:sz w:val="22"/>
        </w:rPr>
        <w:t>6601</w:t>
      </w:r>
      <w:r>
        <w:rPr>
          <w:rFonts w:ascii="Calibri" w:hAnsi="Calibri" w:eastAsia="微软雅黑"/>
          <w:b w:val="0"/>
          <w:i w:val="0"/>
          <w:color w:val="1E293B"/>
          <w:sz w:val="22"/>
        </w:rPr>
        <w:t>）、管理费用（</w:t>
      </w:r>
      <w:r>
        <w:rPr>
          <w:rFonts w:ascii="Consolas" w:hAnsi="Consolas" w:eastAsia="微软雅黑"/>
          <w:b/>
          <w:i w:val="0"/>
          <w:color w:val="1A56A0"/>
          <w:sz w:val="22"/>
        </w:rPr>
        <w:t>6602</w:t>
      </w:r>
      <w:r>
        <w:rPr>
          <w:rFonts w:ascii="Calibri" w:hAnsi="Calibri" w:eastAsia="微软雅黑"/>
          <w:b w:val="0"/>
          <w:i w:val="0"/>
          <w:color w:val="1E293B"/>
          <w:sz w:val="22"/>
        </w:rPr>
        <w:t>）、财务费用（</w:t>
      </w:r>
      <w:r>
        <w:rPr>
          <w:rFonts w:ascii="Consolas" w:hAnsi="Consolas" w:eastAsia="微软雅黑"/>
          <w:b/>
          <w:i w:val="0"/>
          <w:color w:val="1A56A0"/>
          <w:sz w:val="22"/>
        </w:rPr>
        <w:t>6603</w:t>
      </w:r>
      <w:r>
        <w:rPr>
          <w:rFonts w:ascii="Calibri" w:hAnsi="Calibri" w:eastAsia="微软雅黑"/>
          <w:b w:val="0"/>
          <w:i w:val="0"/>
          <w:color w:val="1E293B"/>
          <w:sz w:val="22"/>
        </w:rPr>
        <w:t>）、税金及附加（</w:t>
      </w:r>
      <w:r>
        <w:rPr>
          <w:rFonts w:ascii="Consolas" w:hAnsi="Consolas" w:eastAsia="微软雅黑"/>
          <w:b/>
          <w:i w:val="0"/>
          <w:color w:val="1A56A0"/>
          <w:sz w:val="22"/>
        </w:rPr>
        <w:t>6403</w:t>
      </w:r>
      <w:r>
        <w:rPr>
          <w:rFonts w:ascii="Calibri" w:hAnsi="Calibri" w:eastAsia="微软雅黑"/>
          <w:b w:val="0"/>
          <w:i w:val="0"/>
          <w:color w:val="1E293B"/>
          <w:sz w:val="22"/>
        </w:rPr>
        <w:t>）、工资代发（</w:t>
      </w:r>
      <w:r>
        <w:rPr>
          <w:rFonts w:ascii="Consolas" w:hAnsi="Consolas" w:eastAsia="微软雅黑"/>
          <w:b/>
          <w:i w:val="0"/>
          <w:color w:val="1A56A0"/>
          <w:sz w:val="22"/>
        </w:rPr>
        <w:t>2211</w:t>
      </w:r>
      <w:r>
        <w:rPr>
          <w:rFonts w:ascii="Calibri" w:hAnsi="Calibri" w:eastAsia="微软雅黑"/>
          <w:b w:val="0"/>
          <w:i w:val="0"/>
          <w:color w:val="1E293B"/>
          <w:sz w:val="22"/>
        </w:rPr>
        <w:t>）及折旧计提（</w:t>
      </w:r>
      <w:r>
        <w:rPr>
          <w:rFonts w:ascii="Consolas" w:hAnsi="Consolas" w:eastAsia="微软雅黑"/>
          <w:b/>
          <w:i w:val="0"/>
          <w:color w:val="1A56A0"/>
          <w:sz w:val="22"/>
        </w:rPr>
        <w:t>1602</w:t>
      </w:r>
      <w:r>
        <w:rPr>
          <w:rFonts w:ascii="Calibri" w:hAnsi="Calibri" w:eastAsia="微软雅黑"/>
          <w:b w:val="0"/>
          <w:i w:val="0"/>
          <w:color w:val="1E293B"/>
          <w:sz w:val="22"/>
        </w:rPr>
        <w:t xml:space="preserve">）若有真实银行流水或常规计提依据，无需关联购销合同；② 当所有确定性算子均未检出异常时，模型必须输出 </w:t>
      </w:r>
      <w:r>
        <w:rPr>
          <w:rFonts w:ascii="Consolas" w:hAnsi="Consolas" w:eastAsia="微软雅黑"/>
          <w:b/>
          <w:i w:val="0"/>
          <w:color w:val="1A56A0"/>
          <w:sz w:val="22"/>
        </w:rPr>
        <w:t>CLEAN</w:t>
      </w:r>
      <w:r>
        <w:rPr>
          <w:rFonts w:ascii="Calibri" w:hAnsi="Calibri" w:eastAsia="微软雅黑"/>
          <w:b w:val="0"/>
          <w:i w:val="0"/>
          <w:color w:val="1E293B"/>
          <w:sz w:val="22"/>
        </w:rPr>
        <w:t xml:space="preserve"> 与空数组 </w:t>
      </w:r>
      <w:r>
        <w:rPr>
          <w:rFonts w:ascii="Consolas" w:hAnsi="Consolas" w:eastAsia="微软雅黑"/>
          <w:b/>
          <w:i w:val="0"/>
          <w:color w:val="1A56A0"/>
          <w:sz w:val="22"/>
        </w:rPr>
        <w:t>[]</w:t>
      </w:r>
      <w:r>
        <w:rPr>
          <w:rFonts w:ascii="Calibri" w:hAnsi="Calibri" w:eastAsia="微软雅黑"/>
          <w:b w:val="0"/>
          <w:i w:val="0"/>
          <w:color w:val="1E293B"/>
          <w:sz w:val="22"/>
        </w:rPr>
        <w:t>，禁止主观臆造中高风险项。</w:t>
      </w:r>
    </w:p>
    <w:p>
      <w:pPr>
        <w:keepNext/>
        <w:spacing w:before="320" w:after="120"/>
        <w:pBdr>
          <w:bottom w:val="single" w:sz="12" w:space="4" w:color="0F2C59"/>
        </w:pBdr>
      </w:pPr>
      <w:r>
        <w:rPr>
          <w:rFonts w:ascii="Calibri" w:hAnsi="Calibri" w:eastAsia="微软雅黑"/>
          <w:b/>
          <w:i w:val="0"/>
          <w:color w:val="0F2C59"/>
          <w:sz w:val="32"/>
        </w:rPr>
        <w:t>四、 智能体认知架构演进：多步自主深潜与自我修正闭环</w:t>
      </w:r>
    </w:p>
    <w:p>
      <w:pPr>
        <w:spacing w:before="0" w:after="120" w:line="276" w:lineRule="auto"/>
      </w:pPr>
      <w:r>
        <w:rPr>
          <w:rFonts w:ascii="Calibri" w:hAnsi="Calibri" w:eastAsia="微软雅黑"/>
          <w:b w:val="0"/>
          <w:i w:val="0"/>
          <w:color w:val="1E293B"/>
          <w:sz w:val="22"/>
        </w:rPr>
        <w:t xml:space="preserve">为了在竞赛“技术创新”评审维度拉开代差，建议对标 </w:t>
      </w:r>
      <w:hyperlink r:id="rId13">
        <w:r>
          <w:rPr>
            <w:rFonts w:ascii="Calibri" w:hAnsi="Calibri" w:eastAsia="微软雅黑"/>
            <w:color w:val="1A56A0"/>
            <w:u w:val="single"/>
            <w:sz w:val="22"/>
            <w:szCs w:val="22"/>
          </w:rPr>
          <w:t>Basis 的多模型协同与推理验证架构</w:t>
        </w:r>
      </w:hyperlink>
      <w:r>
        <w:rPr>
          <w:rFonts w:ascii="Calibri" w:hAnsi="Calibri" w:eastAsia="微软雅黑"/>
          <w:b w:val="0"/>
          <w:i w:val="0"/>
          <w:color w:val="1E293B"/>
          <w:sz w:val="22"/>
        </w:rPr>
        <w:t xml:space="preserve">，对 </w:t>
      </w:r>
      <w:r>
        <w:rPr>
          <w:rFonts w:ascii="Consolas" w:hAnsi="Consolas" w:eastAsia="微软雅黑"/>
          <w:b/>
          <w:i w:val="0"/>
          <w:color w:val="1A56A0"/>
          <w:sz w:val="22"/>
        </w:rPr>
        <w:t>src/core/harness.py</w:t>
      </w:r>
      <w:r>
        <w:rPr>
          <w:rFonts w:ascii="Calibri" w:hAnsi="Calibri" w:eastAsia="微软雅黑"/>
          <w:b w:val="0"/>
          <w:i w:val="0"/>
          <w:color w:val="1E293B"/>
          <w:sz w:val="22"/>
        </w:rPr>
        <w:t xml:space="preserve"> 与 </w:t>
      </w:r>
      <w:r>
        <w:rPr>
          <w:rFonts w:ascii="Consolas" w:hAnsi="Consolas" w:eastAsia="微软雅黑"/>
          <w:b/>
          <w:i w:val="0"/>
          <w:color w:val="1A56A0"/>
          <w:sz w:val="22"/>
        </w:rPr>
        <w:t>src/core/llm_adapter.py</w:t>
      </w:r>
      <w:r>
        <w:rPr>
          <w:rFonts w:ascii="Calibri" w:hAnsi="Calibri" w:eastAsia="微软雅黑"/>
          <w:b w:val="0"/>
          <w:i w:val="0"/>
          <w:color w:val="1E293B"/>
          <w:sz w:val="22"/>
        </w:rPr>
        <w:t xml:space="preserve"> 进行三项架构升级：</w:t>
      </w:r>
    </w:p>
    <w:p>
      <w:pPr>
        <w:keepNext/>
        <w:spacing w:before="240" w:after="80"/>
      </w:pPr>
      <w:r>
        <w:rPr>
          <w:rFonts w:ascii="Calibri" w:hAnsi="Calibri" w:eastAsia="微软雅黑"/>
          <w:b/>
          <w:i w:val="0"/>
          <w:color w:val="1A56A0"/>
          <w:sz w:val="26"/>
        </w:rPr>
        <w:t>1. 构建“Grounding Guard 触发的自动重推演修正闭环（Self-Correction Loop）”</w:t>
      </w:r>
    </w:p>
    <w:p>
      <w:pPr>
        <w:pStyle w:val="ListBullet"/>
        <w:spacing w:before="20" w:after="80" w:line="276" w:lineRule="auto"/>
      </w:pPr>
      <w:r>
        <w:rPr>
          <w:rFonts w:ascii="Calibri" w:hAnsi="Calibri" w:eastAsia="微软雅黑"/>
          <w:b/>
          <w:i w:val="0"/>
          <w:color w:val="1E293B"/>
          <w:sz w:val="22"/>
        </w:rPr>
        <w:t>现状局限：</w:t>
      </w:r>
      <w:r>
        <w:rPr>
          <w:rFonts w:ascii="Consolas" w:hAnsi="Consolas" w:eastAsia="微软雅黑"/>
          <w:b/>
          <w:i w:val="0"/>
          <w:color w:val="1A56A0"/>
          <w:sz w:val="22"/>
        </w:rPr>
        <w:t>src/plugins/audit_fraud_plugin/plugin.py</w:t>
      </w:r>
      <w:r>
        <w:rPr>
          <w:rFonts w:ascii="Calibri" w:hAnsi="Calibri" w:eastAsia="微软雅黑"/>
          <w:b w:val="0"/>
          <w:i w:val="0"/>
          <w:color w:val="1E293B"/>
          <w:sz w:val="22"/>
        </w:rPr>
        <w:t xml:space="preserve"> 中的 </w:t>
      </w:r>
      <w:r>
        <w:rPr>
          <w:rFonts w:ascii="Consolas" w:hAnsi="Consolas" w:eastAsia="微软雅黑"/>
          <w:b/>
          <w:i w:val="0"/>
          <w:color w:val="1A56A0"/>
          <w:sz w:val="22"/>
        </w:rPr>
        <w:t>ground_findings()</w:t>
      </w:r>
      <w:r>
        <w:rPr>
          <w:rFonts w:ascii="Calibri" w:hAnsi="Calibri" w:eastAsia="微软雅黑"/>
          <w:b w:val="0"/>
          <w:i w:val="0"/>
          <w:color w:val="1E293B"/>
          <w:sz w:val="22"/>
        </w:rPr>
        <w:t xml:space="preserve"> 在检测到模型未引用真实单据号或金额误差 &gt;1% 时，仅被动打上 </w:t>
      </w:r>
      <w:r>
        <w:rPr>
          <w:rFonts w:ascii="Consolas" w:hAnsi="Consolas" w:eastAsia="微软雅黑"/>
          <w:b/>
          <w:i w:val="0"/>
          <w:color w:val="1A56A0"/>
          <w:sz w:val="22"/>
        </w:rPr>
        <w:t>【证据未锚定】 / 【金额待复核】</w:t>
      </w:r>
      <w:r>
        <w:rPr>
          <w:rFonts w:ascii="Calibri" w:hAnsi="Calibri" w:eastAsia="微软雅黑"/>
          <w:b w:val="0"/>
          <w:i w:val="0"/>
          <w:color w:val="1E293B"/>
          <w:sz w:val="22"/>
        </w:rPr>
        <w:t xml:space="preserve"> 标签，未让模型修正错误。</w:t>
      </w:r>
    </w:p>
    <w:p>
      <w:pPr>
        <w:pStyle w:val="ListBullet"/>
        <w:spacing w:before="20" w:after="120" w:line="276" w:lineRule="auto"/>
      </w:pPr>
      <w:r>
        <w:rPr>
          <w:rFonts w:ascii="Calibri" w:hAnsi="Calibri" w:eastAsia="微软雅黑"/>
          <w:b/>
          <w:i w:val="0"/>
          <w:color w:val="1E293B"/>
          <w:sz w:val="22"/>
        </w:rPr>
        <w:t>闭环改造：</w:t>
      </w:r>
      <w:r>
        <w:rPr>
          <w:rFonts w:ascii="Calibri" w:hAnsi="Calibri" w:eastAsia="微软雅黑"/>
          <w:b w:val="0"/>
          <w:i w:val="0"/>
          <w:color w:val="1E293B"/>
          <w:sz w:val="22"/>
        </w:rPr>
        <w:t xml:space="preserve">在 </w:t>
      </w:r>
      <w:r>
        <w:rPr>
          <w:rFonts w:ascii="Consolas" w:hAnsi="Consolas" w:eastAsia="微软雅黑"/>
          <w:b/>
          <w:i w:val="0"/>
          <w:color w:val="1A56A0"/>
          <w:sz w:val="22"/>
        </w:rPr>
        <w:t>harness.py</w:t>
      </w:r>
      <w:r>
        <w:rPr>
          <w:rFonts w:ascii="Calibri" w:hAnsi="Calibri" w:eastAsia="微软雅黑"/>
          <w:b w:val="0"/>
          <w:i w:val="0"/>
          <w:color w:val="1E293B"/>
          <w:sz w:val="22"/>
        </w:rPr>
        <w:t xml:space="preserve"> 的 </w:t>
      </w:r>
      <w:r>
        <w:rPr>
          <w:rFonts w:ascii="Consolas" w:hAnsi="Consolas" w:eastAsia="微软雅黑"/>
          <w:b/>
          <w:i w:val="0"/>
          <w:color w:val="1A56A0"/>
          <w:sz w:val="22"/>
        </w:rPr>
        <w:t>run_case()</w:t>
      </w:r>
      <w:r>
        <w:rPr>
          <w:rFonts w:ascii="Calibri" w:hAnsi="Calibri" w:eastAsia="微软雅黑"/>
          <w:b w:val="0"/>
          <w:i w:val="0"/>
          <w:color w:val="1E293B"/>
          <w:sz w:val="22"/>
        </w:rPr>
        <w:t xml:space="preserve"> 中增加最多 1 轮自动反思重推演（Verifier-Driven Reflection）：当 </w:t>
      </w:r>
      <w:r>
        <w:rPr>
          <w:rFonts w:ascii="Consolas" w:hAnsi="Consolas" w:eastAsia="微软雅黑"/>
          <w:b/>
          <w:i w:val="0"/>
          <w:color w:val="1A56A0"/>
          <w:sz w:val="22"/>
        </w:rPr>
        <w:t>verification['ungrounded'] &gt; 0</w:t>
      </w:r>
      <w:r>
        <w:rPr>
          <w:rFonts w:ascii="Calibri" w:hAnsi="Calibri" w:eastAsia="微软雅黑"/>
          <w:b w:val="0"/>
          <w:i w:val="0"/>
          <w:color w:val="1E293B"/>
          <w:sz w:val="22"/>
        </w:rPr>
        <w:t xml:space="preserve"> 或 </w:t>
      </w:r>
      <w:r>
        <w:rPr>
          <w:rFonts w:ascii="Consolas" w:hAnsi="Consolas" w:eastAsia="微软雅黑"/>
          <w:b/>
          <w:i w:val="0"/>
          <w:color w:val="1A56A0"/>
          <w:sz w:val="22"/>
        </w:rPr>
        <w:t>verification['amount_unverified'] &gt; 0</w:t>
      </w:r>
      <w:r>
        <w:rPr>
          <w:rFonts w:ascii="Calibri" w:hAnsi="Calibri" w:eastAsia="微软雅黑"/>
          <w:b w:val="0"/>
          <w:i w:val="0"/>
          <w:color w:val="1E293B"/>
          <w:sz w:val="22"/>
        </w:rPr>
        <w:t xml:space="preserve"> 时，系统自动将未通过校验的发现项及源单据候选精确金额池（不含税收入净额、成本额、算子去重净敞口）封装为校验反馈消息，要求模型修正口径后重新输出 JSON，并在前端【思维链推演台】展示“初稿推演 ➔ 守卫拦截 ➔ 口径对齐修正”的完整轨迹。</w:t>
      </w:r>
    </w:p>
    <w:p>
      <w:pPr>
        <w:keepNext/>
        <w:spacing w:before="240" w:after="80"/>
      </w:pPr>
      <w:r>
        <w:rPr>
          <w:rFonts w:ascii="Calibri" w:hAnsi="Calibri" w:eastAsia="微软雅黑"/>
          <w:b/>
          <w:i w:val="0"/>
          <w:color w:val="1A56A0"/>
          <w:sz w:val="26"/>
        </w:rPr>
        <w:t>2. 实现 Flash + Pro 双模型自适应路由与清理冗余预执行</w:t>
      </w:r>
    </w:p>
    <w:p>
      <w:pPr>
        <w:pStyle w:val="ListBullet"/>
        <w:spacing w:before="20" w:after="80" w:line="276" w:lineRule="auto"/>
      </w:pPr>
      <w:r>
        <w:rPr>
          <w:rFonts w:ascii="Calibri" w:hAnsi="Calibri" w:eastAsia="微软雅黑"/>
          <w:b/>
          <w:i w:val="0"/>
          <w:color w:val="1E293B"/>
          <w:sz w:val="22"/>
        </w:rPr>
        <w:t>消除在线模式工具重复调用：</w:t>
      </w:r>
      <w:r>
        <w:rPr>
          <w:rFonts w:ascii="Calibri" w:hAnsi="Calibri" w:eastAsia="微软雅黑"/>
          <w:b w:val="0"/>
          <w:i w:val="0"/>
          <w:color w:val="1E293B"/>
          <w:sz w:val="22"/>
        </w:rPr>
        <w:t xml:space="preserve">在 </w:t>
      </w:r>
      <w:r>
        <w:rPr>
          <w:rFonts w:ascii="Consolas" w:hAnsi="Consolas" w:eastAsia="微软雅黑"/>
          <w:b/>
          <w:i w:val="0"/>
          <w:color w:val="1A56A0"/>
          <w:sz w:val="22"/>
        </w:rPr>
        <w:t>harness.py</w:t>
      </w:r>
      <w:r>
        <w:rPr>
          <w:rFonts w:ascii="Calibri" w:hAnsi="Calibri" w:eastAsia="微软雅黑"/>
          <w:b w:val="0"/>
          <w:i w:val="0"/>
          <w:color w:val="1E293B"/>
          <w:sz w:val="22"/>
        </w:rPr>
        <w:t xml:space="preserve"> 的 </w:t>
      </w:r>
      <w:r>
        <w:rPr>
          <w:rFonts w:ascii="Consolas" w:hAnsi="Consolas" w:eastAsia="微软雅黑"/>
          <w:b/>
          <w:i w:val="0"/>
          <w:color w:val="1A56A0"/>
          <w:sz w:val="22"/>
        </w:rPr>
        <w:t>run_agent_turn()</w:t>
      </w:r>
      <w:r>
        <w:rPr>
          <w:rFonts w:ascii="Calibri" w:hAnsi="Calibri" w:eastAsia="微软雅黑"/>
          <w:b w:val="0"/>
          <w:i w:val="0"/>
          <w:color w:val="1E293B"/>
          <w:sz w:val="22"/>
        </w:rPr>
        <w:t xml:space="preserve">（第285–350行）中，当前代码在进入在线模式 </w:t>
      </w:r>
      <w:r>
        <w:rPr>
          <w:rFonts w:ascii="Consolas" w:hAnsi="Consolas" w:eastAsia="微软雅黑"/>
          <w:b/>
          <w:i w:val="0"/>
          <w:color w:val="1A56A0"/>
          <w:sz w:val="22"/>
        </w:rPr>
        <w:t>chat_with_tools()</w:t>
      </w:r>
      <w:r>
        <w:rPr>
          <w:rFonts w:ascii="Calibri" w:hAnsi="Calibri" w:eastAsia="微软雅黑"/>
          <w:b w:val="0"/>
          <w:i w:val="0"/>
          <w:color w:val="1E293B"/>
          <w:sz w:val="22"/>
        </w:rPr>
        <w:t xml:space="preserve"> 之前，仍先用关键词匹配把算子跑了一遍。应改为：当 </w:t>
      </w:r>
      <w:r>
        <w:rPr>
          <w:rFonts w:ascii="Consolas" w:hAnsi="Consolas" w:eastAsia="微软雅黑"/>
          <w:b/>
          <w:i w:val="0"/>
          <w:color w:val="1A56A0"/>
          <w:sz w:val="22"/>
        </w:rPr>
        <w:t>self.llm.mode != ExecutionMode.MOCK</w:t>
      </w:r>
      <w:r>
        <w:rPr>
          <w:rFonts w:ascii="Calibri" w:hAnsi="Calibri" w:eastAsia="微软雅黑"/>
          <w:b w:val="0"/>
          <w:i w:val="0"/>
          <w:color w:val="1E293B"/>
          <w:sz w:val="22"/>
        </w:rPr>
        <w:t xml:space="preserve"> 时直接进入 </w:t>
      </w:r>
      <w:r>
        <w:rPr>
          <w:rFonts w:ascii="Consolas" w:hAnsi="Consolas" w:eastAsia="微软雅黑"/>
          <w:b/>
          <w:i w:val="0"/>
          <w:color w:val="1A56A0"/>
          <w:sz w:val="22"/>
        </w:rPr>
        <w:t>chat_with_tools()</w:t>
      </w:r>
      <w:r>
        <w:rPr>
          <w:rFonts w:ascii="Calibri" w:hAnsi="Calibri" w:eastAsia="微软雅黑"/>
          <w:b w:val="0"/>
          <w:i w:val="0"/>
          <w:color w:val="1E293B"/>
          <w:sz w:val="22"/>
        </w:rPr>
        <w:t>，仅在离线模式或降级时启用关键词路由。</w:t>
      </w:r>
    </w:p>
    <w:p>
      <w:pPr>
        <w:pStyle w:val="ListBullet"/>
        <w:spacing w:before="20" w:after="120" w:line="276" w:lineRule="auto"/>
      </w:pPr>
      <w:r>
        <w:rPr>
          <w:rFonts w:ascii="Calibri" w:hAnsi="Calibri" w:eastAsia="微软雅黑"/>
          <w:b/>
          <w:i w:val="0"/>
          <w:color w:val="1E293B"/>
          <w:sz w:val="22"/>
        </w:rPr>
        <w:t>双模型分级协同：</w:t>
      </w:r>
      <w:r>
        <w:rPr>
          <w:rFonts w:ascii="Calibri" w:hAnsi="Calibri" w:eastAsia="微软雅黑"/>
          <w:b w:val="0"/>
          <w:i w:val="0"/>
          <w:color w:val="1E293B"/>
          <w:sz w:val="22"/>
        </w:rPr>
        <w:t xml:space="preserve">利用 </w:t>
      </w:r>
      <w:r>
        <w:rPr>
          <w:rFonts w:ascii="Consolas" w:hAnsi="Consolas" w:eastAsia="微软雅黑"/>
          <w:b/>
          <w:i w:val="0"/>
          <w:color w:val="1A56A0"/>
          <w:sz w:val="22"/>
        </w:rPr>
        <w:t>config.py</w:t>
      </w:r>
      <w:r>
        <w:rPr>
          <w:rFonts w:ascii="Calibri" w:hAnsi="Calibri" w:eastAsia="微软雅黑"/>
          <w:b w:val="0"/>
          <w:i w:val="0"/>
          <w:color w:val="1E293B"/>
          <w:sz w:val="22"/>
        </w:rPr>
        <w:t xml:space="preserve"> 已配置的 </w:t>
      </w:r>
      <w:r>
        <w:rPr>
          <w:rFonts w:ascii="Consolas" w:hAnsi="Consolas" w:eastAsia="微软雅黑"/>
          <w:b/>
          <w:i w:val="0"/>
          <w:color w:val="1A56A0"/>
          <w:sz w:val="22"/>
        </w:rPr>
        <w:t>model_name (deepseek-flash)</w:t>
      </w:r>
      <w:r>
        <w:rPr>
          <w:rFonts w:ascii="Calibri" w:hAnsi="Calibri" w:eastAsia="微软雅黑"/>
          <w:b w:val="0"/>
          <w:i w:val="0"/>
          <w:color w:val="1E293B"/>
          <w:sz w:val="22"/>
        </w:rPr>
        <w:t xml:space="preserve"> 与 </w:t>
      </w:r>
      <w:r>
        <w:rPr>
          <w:rFonts w:ascii="Consolas" w:hAnsi="Consolas" w:eastAsia="微软雅黑"/>
          <w:b/>
          <w:i w:val="0"/>
          <w:color w:val="1A56A0"/>
          <w:sz w:val="22"/>
        </w:rPr>
        <w:t>reasoner_model_name (deepseek-v4-pro)</w:t>
      </w:r>
      <w:r>
        <w:rPr>
          <w:rFonts w:ascii="Calibri" w:hAnsi="Calibri" w:eastAsia="微软雅黑"/>
          <w:b w:val="0"/>
          <w:i w:val="0"/>
          <w:color w:val="1E293B"/>
          <w:sz w:val="22"/>
        </w:rPr>
        <w:t>：日常多轮对话与算子参数选择使用低延迟的 Flash 模型；当算子矩阵检出 ≥2 类复合舞弊特征或执行最终底稿定性时，自动切换至 Pro 深度推理模型。</w:t>
      </w:r>
    </w:p>
    <w:p>
      <w:pPr>
        <w:keepNext/>
        <w:spacing w:before="240" w:after="80"/>
      </w:pPr>
      <w:r>
        <w:rPr>
          <w:rFonts w:ascii="Calibri" w:hAnsi="Calibri" w:eastAsia="微软雅黑"/>
          <w:b/>
          <w:i w:val="0"/>
          <w:color w:val="1A56A0"/>
          <w:sz w:val="26"/>
        </w:rPr>
        <w:t>3. 彻底移除 _mock_completion 中的 25 家公司名称硬编码</w:t>
      </w:r>
    </w:p>
    <w:p>
      <w:pPr>
        <w:pStyle w:val="ListBullet"/>
        <w:spacing w:before="20" w:after="160" w:line="276" w:lineRule="auto"/>
      </w:pPr>
      <w:r>
        <w:rPr>
          <w:rFonts w:ascii="Calibri" w:hAnsi="Calibri" w:eastAsia="微软雅黑"/>
          <w:b/>
          <w:i w:val="0"/>
          <w:color w:val="1E293B"/>
          <w:sz w:val="22"/>
        </w:rPr>
        <w:t>代码去特判化：</w:t>
      </w:r>
      <w:r>
        <w:rPr>
          <w:rFonts w:ascii="Calibri" w:hAnsi="Calibri" w:eastAsia="微软雅黑"/>
          <w:b w:val="0"/>
          <w:i w:val="0"/>
          <w:color w:val="1E293B"/>
          <w:sz w:val="22"/>
        </w:rPr>
        <w:t xml:space="preserve">将 </w:t>
      </w:r>
      <w:r>
        <w:rPr>
          <w:rFonts w:ascii="Consolas" w:hAnsi="Consolas" w:eastAsia="微软雅黑"/>
          <w:b/>
          <w:i w:val="0"/>
          <w:color w:val="1A56A0"/>
          <w:sz w:val="22"/>
        </w:rPr>
        <w:t>src/core/llm_adapter.py</w:t>
      </w:r>
      <w:r>
        <w:rPr>
          <w:rFonts w:ascii="Calibri" w:hAnsi="Calibri" w:eastAsia="微软雅黑"/>
          <w:b w:val="0"/>
          <w:i w:val="0"/>
          <w:color w:val="1E293B"/>
          <w:sz w:val="22"/>
        </w:rPr>
        <w:t xml:space="preserve"> 第 398–475 行中针对“康得新”、“辅仁”、“宜华”、“金正大”、“獐子岛”等 25 个公司/背景词的 </w:t>
      </w:r>
      <w:r>
        <w:rPr>
          <w:rFonts w:ascii="Consolas" w:hAnsi="Consolas" w:eastAsia="微软雅黑"/>
          <w:b/>
          <w:i w:val="0"/>
          <w:color w:val="1A56A0"/>
          <w:sz w:val="22"/>
        </w:rPr>
        <w:t>if/elif</w:t>
      </w:r>
      <w:r>
        <w:rPr>
          <w:rFonts w:ascii="Calibri" w:hAnsi="Calibri" w:eastAsia="微软雅黑"/>
          <w:b w:val="0"/>
          <w:i w:val="0"/>
          <w:color w:val="1E293B"/>
          <w:sz w:val="22"/>
        </w:rPr>
        <w:t xml:space="preserve"> 分支全部删除，替换为基于</w:t>
      </w:r>
      <w:r>
        <w:rPr>
          <w:rFonts w:ascii="Calibri" w:hAnsi="Calibri" w:eastAsia="微软雅黑"/>
          <w:b/>
          <w:i w:val="0"/>
          <w:color w:val="0F2C59"/>
          <w:sz w:val="22"/>
        </w:rPr>
        <w:t>「算子异常类型（Discrepancy Type）+ 凭证科目代码前缀（Account Code Prefix）」</w:t>
      </w:r>
      <w:r>
        <w:rPr>
          <w:rFonts w:ascii="Calibri" w:hAnsi="Calibri" w:eastAsia="微软雅黑"/>
          <w:b w:val="0"/>
          <w:i w:val="0"/>
          <w:color w:val="1E293B"/>
          <w:sz w:val="22"/>
        </w:rPr>
        <w:t>的通用会计准则映射字典，确保评委现场抽查代码或上传任意未知企业账套时，系统均展现出 100% 原生泛化能力。</w:t>
      </w:r>
    </w:p>
    <w:p>
      <w:pPr>
        <w:keepNext/>
        <w:spacing w:before="320" w:after="120"/>
        <w:pBdr>
          <w:bottom w:val="single" w:sz="12" w:space="4" w:color="0F2C59"/>
        </w:pBdr>
      </w:pPr>
      <w:r>
        <w:rPr>
          <w:rFonts w:ascii="Calibri" w:hAnsi="Calibri" w:eastAsia="微软雅黑"/>
          <w:b/>
          <w:i w:val="0"/>
          <w:color w:val="0F2C59"/>
          <w:sz w:val="32"/>
        </w:rPr>
        <w:t>五、 产品功能扩展与决赛答辩“杀手锏”设计</w:t>
      </w:r>
    </w:p>
    <w:p>
      <w:pPr>
        <w:keepNext/>
        <w:spacing w:before="240" w:after="80"/>
      </w:pPr>
      <w:r>
        <w:rPr>
          <w:rFonts w:ascii="Calibri" w:hAnsi="Calibri" w:eastAsia="微软雅黑"/>
          <w:b/>
          <w:i w:val="0"/>
          <w:color w:val="1A56A0"/>
          <w:sz w:val="26"/>
        </w:rPr>
        <w:t>1. 底稿页新增“拟定审计调整分录（AJE）自动编制 + 审定前后报表冲击对比”</w:t>
      </w:r>
    </w:p>
    <w:p>
      <w:pPr>
        <w:pStyle w:val="ListBullet"/>
        <w:spacing w:before="20" w:after="80" w:line="276" w:lineRule="auto"/>
      </w:pPr>
      <w:r>
        <w:rPr>
          <w:rFonts w:ascii="Calibri" w:hAnsi="Calibri" w:eastAsia="微软雅黑"/>
          <w:b/>
          <w:i w:val="0"/>
          <w:color w:val="1E293B"/>
          <w:sz w:val="22"/>
        </w:rPr>
        <w:t>自动生成借贷平衡的审计调整分录：</w:t>
      </w:r>
      <w:r>
        <w:rPr>
          <w:rFonts w:ascii="Calibri" w:hAnsi="Calibri" w:eastAsia="微软雅黑"/>
          <w:b w:val="0"/>
          <w:i w:val="0"/>
          <w:color w:val="1E293B"/>
          <w:sz w:val="22"/>
        </w:rPr>
        <w:t xml:space="preserve">对标 </w:t>
      </w:r>
      <w:hyperlink r:id="rId11">
        <w:r>
          <w:rPr>
            <w:rFonts w:ascii="Calibri" w:hAnsi="Calibri" w:eastAsia="微软雅黑"/>
            <w:color w:val="1A56A0"/>
            <w:u w:val="single"/>
            <w:sz w:val="22"/>
            <w:szCs w:val="22"/>
          </w:rPr>
          <w:t>Campfire</w:t>
        </w:r>
      </w:hyperlink>
      <w:r>
        <w:rPr>
          <w:rFonts w:ascii="Calibri" w:hAnsi="Calibri" w:eastAsia="微软雅黑"/>
          <w:b w:val="0"/>
          <w:i w:val="0"/>
          <w:color w:val="1E293B"/>
          <w:sz w:val="22"/>
        </w:rPr>
        <w:t xml:space="preserve"> 与 </w:t>
      </w:r>
      <w:hyperlink r:id="rId16">
        <w:r>
          <w:rPr>
            <w:rFonts w:ascii="Calibri" w:hAnsi="Calibri" w:eastAsia="微软雅黑"/>
            <w:color w:val="1A56A0"/>
            <w:u w:val="single"/>
            <w:sz w:val="22"/>
            <w:szCs w:val="22"/>
          </w:rPr>
          <w:t>Numeric</w:t>
        </w:r>
      </w:hyperlink>
      <w:r>
        <w:rPr>
          <w:rFonts w:ascii="Calibri" w:hAnsi="Calibri" w:eastAsia="微软雅黑"/>
          <w:b w:val="0"/>
          <w:i w:val="0"/>
          <w:color w:val="1E293B"/>
          <w:sz w:val="22"/>
        </w:rPr>
        <w:t xml:space="preserve">，在 </w:t>
      </w:r>
      <w:r>
        <w:rPr>
          <w:rFonts w:ascii="Consolas" w:hAnsi="Consolas" w:eastAsia="微软雅黑"/>
          <w:b/>
          <w:i w:val="0"/>
          <w:color w:val="1A56A0"/>
          <w:sz w:val="22"/>
        </w:rPr>
        <w:t>WorkpaperTable.tsx</w:t>
      </w:r>
      <w:r>
        <w:rPr>
          <w:rFonts w:ascii="Calibri" w:hAnsi="Calibri" w:eastAsia="微软雅黑"/>
          <w:b w:val="0"/>
          <w:i w:val="0"/>
          <w:color w:val="1E293B"/>
          <w:sz w:val="22"/>
        </w:rPr>
        <w:t xml:space="preserve"> 中根据异常凭证的分录结构自动生成反向冲销或调整分录（例如针对虚增收入自动生成：</w:t>
      </w:r>
      <w:r>
        <w:rPr>
          <w:rFonts w:ascii="Consolas" w:hAnsi="Consolas" w:eastAsia="微软雅黑"/>
          <w:b/>
          <w:i w:val="0"/>
          <w:color w:val="1A56A0"/>
          <w:sz w:val="22"/>
        </w:rPr>
        <w:t>借：主营业务收入 / 借：应交税费-应交增值税(销项税额) / 贷：应收账款</w:t>
      </w:r>
      <w:r>
        <w:rPr>
          <w:rFonts w:ascii="Calibri" w:hAnsi="Calibri" w:eastAsia="微软雅黑"/>
          <w:b w:val="0"/>
          <w:i w:val="0"/>
          <w:color w:val="1E293B"/>
          <w:sz w:val="22"/>
        </w:rPr>
        <w:t>；针对少计成本自动生成：</w:t>
      </w:r>
      <w:r>
        <w:rPr>
          <w:rFonts w:ascii="Consolas" w:hAnsi="Consolas" w:eastAsia="微软雅黑"/>
          <w:b/>
          <w:i w:val="0"/>
          <w:color w:val="1A56A0"/>
          <w:sz w:val="22"/>
        </w:rPr>
        <w:t>借：主营业务成本 / 贷：发出商品</w:t>
      </w:r>
      <w:r>
        <w:rPr>
          <w:rFonts w:ascii="Calibri" w:hAnsi="Calibri" w:eastAsia="微软雅黑"/>
          <w:b w:val="0"/>
          <w:i w:val="0"/>
          <w:color w:val="1E293B"/>
          <w:sz w:val="22"/>
        </w:rPr>
        <w:t>）。</w:t>
      </w:r>
    </w:p>
    <w:p>
      <w:pPr>
        <w:pStyle w:val="ListBullet"/>
        <w:spacing w:before="20" w:after="120" w:line="276" w:lineRule="auto"/>
      </w:pPr>
      <w:r>
        <w:rPr>
          <w:rFonts w:ascii="Calibri" w:hAnsi="Calibri" w:eastAsia="微软雅黑"/>
          <w:b/>
          <w:i w:val="0"/>
          <w:color w:val="1E293B"/>
          <w:sz w:val="22"/>
        </w:rPr>
        <w:t>审定前后财务报表联动重算条带：</w:t>
      </w:r>
      <w:r>
        <w:rPr>
          <w:rFonts w:ascii="Calibri" w:hAnsi="Calibri" w:eastAsia="微软雅黑"/>
          <w:b w:val="0"/>
          <w:i w:val="0"/>
          <w:color w:val="1E293B"/>
          <w:sz w:val="22"/>
        </w:rPr>
        <w:t>在底稿纸白亮面顶部展示【调整前营业收入 vs. 审定后营业收入】、【调整前净利润 vs. 审定后净利润（高亮标注“由盈转亏 / 触发重大违法强制退市红线”）】，让评委一眼看到审计结论对财务报表的终局影响。</w:t>
      </w:r>
    </w:p>
    <w:p>
      <w:pPr>
        <w:keepNext/>
        <w:spacing w:before="240" w:after="80"/>
      </w:pPr>
      <w:r>
        <w:rPr>
          <w:rFonts w:ascii="Calibri" w:hAnsi="Calibri" w:eastAsia="微软雅黑"/>
          <w:b/>
          <w:i w:val="0"/>
          <w:color w:val="1A56A0"/>
          <w:sz w:val="26"/>
        </w:rPr>
        <w:t>2. 导出 Excel/PDF 底稿新增《CSA 1131 人工智能辅助审计过程记录专表》</w:t>
      </w:r>
    </w:p>
    <w:p>
      <w:pPr>
        <w:pStyle w:val="ListBullet"/>
        <w:spacing w:before="20" w:after="80" w:line="276" w:lineRule="auto"/>
      </w:pPr>
      <w:r>
        <w:rPr>
          <w:rFonts w:ascii="Calibri" w:hAnsi="Calibri" w:eastAsia="微软雅黑"/>
          <w:b/>
          <w:i w:val="0"/>
          <w:color w:val="1E293B"/>
          <w:sz w:val="22"/>
        </w:rPr>
        <w:t>精准响应中注协 2026 年最新监管要求：</w:t>
      </w:r>
      <w:r>
        <w:rPr>
          <w:rFonts w:ascii="Calibri" w:hAnsi="Calibri" w:eastAsia="微软雅黑"/>
          <w:b w:val="0"/>
          <w:i w:val="0"/>
          <w:color w:val="1E293B"/>
          <w:sz w:val="22"/>
        </w:rPr>
        <w:t xml:space="preserve">依据 </w:t>
      </w:r>
      <w:hyperlink r:id="rId23">
        <w:r>
          <w:rPr>
            <w:rFonts w:ascii="Calibri" w:hAnsi="Calibri" w:eastAsia="微软雅黑"/>
            <w:color w:val="1A56A0"/>
            <w:u w:val="single"/>
            <w:sz w:val="22"/>
            <w:szCs w:val="22"/>
          </w:rPr>
          <w:t>中国注册会计师协会 2026 年 3 月《在2025年年报审计中使用人工智能技术的风险防范》提示</w:t>
        </w:r>
      </w:hyperlink>
      <w:r>
        <w:rPr>
          <w:rFonts w:ascii="Calibri" w:hAnsi="Calibri" w:eastAsia="微软雅黑"/>
          <w:b w:val="0"/>
          <w:i w:val="0"/>
          <w:color w:val="1E293B"/>
          <w:sz w:val="22"/>
        </w:rPr>
        <w:t xml:space="preserve">（参见 </w:t>
      </w:r>
      <w:hyperlink r:id="rId25">
        <w:r>
          <w:rPr>
            <w:rFonts w:ascii="Calibri" w:hAnsi="Calibri" w:eastAsia="微软雅黑"/>
            <w:color w:val="1A56A0"/>
            <w:u w:val="single"/>
            <w:sz w:val="22"/>
            <w:szCs w:val="22"/>
          </w:rPr>
          <w:t>新华社经济参考报专题报道</w:t>
        </w:r>
      </w:hyperlink>
      <w:r>
        <w:rPr>
          <w:rFonts w:ascii="Calibri" w:hAnsi="Calibri" w:eastAsia="微软雅黑"/>
          <w:b w:val="0"/>
          <w:i w:val="0"/>
          <w:color w:val="1E293B"/>
          <w:sz w:val="22"/>
        </w:rPr>
        <w:t>），事务所必须按照《中国注册会计师审计准则第1131号——审计工作底稿》在底稿中完整记录 AI 工具的使用过程、参数与采纳分析。</w:t>
      </w:r>
    </w:p>
    <w:p>
      <w:pPr>
        <w:pStyle w:val="ListBullet"/>
        <w:spacing w:before="20" w:after="120" w:line="276" w:lineRule="auto"/>
      </w:pPr>
      <w:r>
        <w:rPr>
          <w:rFonts w:ascii="Calibri" w:hAnsi="Calibri" w:eastAsia="微软雅黑"/>
          <w:b/>
          <w:i w:val="0"/>
          <w:color w:val="1E293B"/>
          <w:sz w:val="22"/>
        </w:rPr>
        <w:t>专表落地内容：</w:t>
      </w:r>
      <w:r>
        <w:rPr>
          <w:rFonts w:ascii="Calibri" w:hAnsi="Calibri" w:eastAsia="微软雅黑"/>
          <w:b w:val="0"/>
          <w:i w:val="0"/>
          <w:color w:val="1E293B"/>
          <w:sz w:val="22"/>
        </w:rPr>
        <w:t xml:space="preserve">在 </w:t>
      </w:r>
      <w:r>
        <w:rPr>
          <w:rFonts w:ascii="Consolas" w:hAnsi="Consolas" w:eastAsia="微软雅黑"/>
          <w:b/>
          <w:i w:val="0"/>
          <w:color w:val="1A56A0"/>
          <w:sz w:val="22"/>
        </w:rPr>
        <w:t>src/exporters/excel_exporter.py</w:t>
      </w:r>
      <w:r>
        <w:rPr>
          <w:rFonts w:ascii="Calibri" w:hAnsi="Calibri" w:eastAsia="微软雅黑"/>
          <w:b w:val="0"/>
          <w:i w:val="0"/>
          <w:color w:val="1E293B"/>
          <w:sz w:val="22"/>
        </w:rPr>
        <w:t xml:space="preserve"> 中新增 Sheet </w:t>
      </w:r>
      <w:r>
        <w:rPr>
          <w:rFonts w:ascii="Consolas" w:hAnsi="Consolas" w:eastAsia="微软雅黑"/>
          <w:b/>
          <w:i w:val="0"/>
          <w:color w:val="1A56A0"/>
          <w:sz w:val="22"/>
        </w:rPr>
        <w:t>CSA1131_AI工具过程与采纳复核</w:t>
      </w:r>
      <w:r>
        <w:rPr>
          <w:rFonts w:ascii="Calibri" w:hAnsi="Calibri" w:eastAsia="微软雅黑"/>
          <w:b w:val="0"/>
          <w:i w:val="0"/>
          <w:color w:val="1E293B"/>
          <w:sz w:val="22"/>
        </w:rPr>
        <w:t>，自动写入：模型版本与执行模式、确定性算子运行清单、出境脱敏掩码统计（</w:t>
      </w:r>
      <w:r>
        <w:rPr>
          <w:rFonts w:ascii="Consolas" w:hAnsi="Consolas" w:eastAsia="微软雅黑"/>
          <w:b/>
          <w:i w:val="0"/>
          <w:color w:val="1A56A0"/>
          <w:sz w:val="22"/>
        </w:rPr>
        <w:t>privacy_audit</w:t>
      </w:r>
      <w:r>
        <w:rPr>
          <w:rFonts w:ascii="Calibri" w:hAnsi="Calibri" w:eastAsia="微软雅黑"/>
          <w:b w:val="0"/>
          <w:i w:val="0"/>
          <w:color w:val="1E293B"/>
          <w:sz w:val="22"/>
        </w:rPr>
        <w:t>）、证据锚定守卫校验日志（</w:t>
      </w:r>
      <w:r>
        <w:rPr>
          <w:rFonts w:ascii="Consolas" w:hAnsi="Consolas" w:eastAsia="微软雅黑"/>
          <w:b/>
          <w:i w:val="0"/>
          <w:color w:val="1A56A0"/>
          <w:sz w:val="22"/>
        </w:rPr>
        <w:t>verification</w:t>
      </w:r>
      <w:r>
        <w:rPr>
          <w:rFonts w:ascii="Calibri" w:hAnsi="Calibri" w:eastAsia="微软雅黑"/>
          <w:b w:val="0"/>
          <w:i w:val="0"/>
          <w:color w:val="1E293B"/>
          <w:sz w:val="22"/>
        </w:rPr>
        <w:t>），以及每条 AI 发现项的「注会复核意见（采纳 / 修正采纳 / 不予采纳）」签署栏。</w:t>
      </w:r>
    </w:p>
    <w:p>
      <w:pPr>
        <w:keepNext/>
        <w:spacing w:before="240" w:after="80"/>
      </w:pPr>
      <w:r>
        <w:rPr>
          <w:rFonts w:ascii="Calibri" w:hAnsi="Calibri" w:eastAsia="微软雅黑"/>
          <w:b/>
          <w:i w:val="0"/>
          <w:color w:val="1A56A0"/>
          <w:sz w:val="26"/>
        </w:rPr>
        <w:t>3. 补齐“业务合同上传”槽位与激活管理会计毛利归因联动</w:t>
      </w:r>
    </w:p>
    <w:p>
      <w:pPr>
        <w:pStyle w:val="ListBullet"/>
        <w:spacing w:before="20" w:after="80" w:line="276" w:lineRule="auto"/>
      </w:pPr>
      <w:r>
        <w:rPr>
          <w:rFonts w:ascii="Calibri" w:hAnsi="Calibri" w:eastAsia="微软雅黑"/>
          <w:b/>
          <w:i w:val="0"/>
          <w:color w:val="1E293B"/>
          <w:sz w:val="22"/>
        </w:rPr>
        <w:t>支持四单完整上传（CustomUploadModal.tsx &amp; /api/upload）：</w:t>
      </w:r>
      <w:r>
        <w:rPr>
          <w:rFonts w:ascii="Calibri" w:hAnsi="Calibri" w:eastAsia="微软雅黑"/>
          <w:b w:val="0"/>
          <w:i w:val="0"/>
          <w:color w:val="1E293B"/>
          <w:sz w:val="22"/>
        </w:rPr>
        <w:t>在现有“记账凭证、增值税发票、银行流水”三个上传槽位基础上，增加第 4 个槽位</w:t>
      </w:r>
      <w:r>
        <w:rPr>
          <w:rFonts w:ascii="Calibri" w:hAnsi="Calibri" w:eastAsia="微软雅黑"/>
          <w:b/>
          <w:i w:val="0"/>
          <w:color w:val="0F2C59"/>
          <w:sz w:val="22"/>
        </w:rPr>
        <w:t>「业务合同台账或合同 PDF（Contracts）」</w:t>
      </w:r>
      <w:r>
        <w:rPr>
          <w:rFonts w:ascii="Calibri" w:hAnsi="Calibri" w:eastAsia="微软雅黑"/>
          <w:b w:val="0"/>
          <w:i w:val="0"/>
          <w:color w:val="1E293B"/>
          <w:sz w:val="22"/>
        </w:rPr>
        <w:t>，使现场上传自定义账套时也能完整运行四单勾稽与控制权转移条款核验。</w:t>
      </w:r>
    </w:p>
    <w:p>
      <w:pPr>
        <w:pStyle w:val="ListBullet"/>
        <w:spacing w:before="20" w:after="160" w:line="276" w:lineRule="auto"/>
      </w:pPr>
      <w:r>
        <w:rPr>
          <w:rFonts w:ascii="Calibri" w:hAnsi="Calibri" w:eastAsia="微软雅黑"/>
          <w:b/>
          <w:i w:val="0"/>
          <w:color w:val="1E293B"/>
          <w:sz w:val="22"/>
        </w:rPr>
        <w:t>激活闲置的 cost_analysis_plugin：</w:t>
      </w:r>
      <w:r>
        <w:rPr>
          <w:rFonts w:ascii="Calibri" w:hAnsi="Calibri" w:eastAsia="微软雅黑"/>
          <w:b w:val="0"/>
          <w:i w:val="0"/>
          <w:color w:val="1E293B"/>
          <w:sz w:val="22"/>
        </w:rPr>
        <w:t xml:space="preserve">借鉴 </w:t>
      </w:r>
      <w:hyperlink r:id="rId22">
        <w:r>
          <w:rPr>
            <w:rFonts w:ascii="Calibri" w:hAnsi="Calibri" w:eastAsia="微软雅黑"/>
            <w:color w:val="1A56A0"/>
            <w:u w:val="single"/>
            <w:sz w:val="22"/>
            <w:szCs w:val="22"/>
          </w:rPr>
          <w:t>金蝶云·星空毛利分析智能体与金钥财报</w:t>
        </w:r>
      </w:hyperlink>
      <w:r>
        <w:rPr>
          <w:rFonts w:ascii="Calibri" w:hAnsi="Calibri" w:eastAsia="微软雅黑"/>
          <w:b w:val="0"/>
          <w:i w:val="0"/>
          <w:color w:val="1E293B"/>
          <w:sz w:val="22"/>
        </w:rPr>
        <w:t xml:space="preserve">，将 </w:t>
      </w:r>
      <w:r>
        <w:rPr>
          <w:rFonts w:ascii="Consolas" w:hAnsi="Consolas" w:eastAsia="微软雅黑"/>
          <w:b/>
          <w:i w:val="0"/>
          <w:color w:val="1A56A0"/>
          <w:sz w:val="22"/>
        </w:rPr>
        <w:t>src/plugins/cost_analysis_plugin/</w:t>
      </w:r>
      <w:r>
        <w:rPr>
          <w:rFonts w:ascii="Calibri" w:hAnsi="Calibri" w:eastAsia="微软雅黑"/>
          <w:b w:val="0"/>
          <w:i w:val="0"/>
          <w:color w:val="1E293B"/>
          <w:sz w:val="22"/>
        </w:rPr>
        <w:t xml:space="preserve"> 计算的边际贡献率、盈亏平衡点与经营杠杆系数（DOL）嵌入指挥舱【财务快照】面板，作为 CSA 1211 风险评估阶段的分析性程序指标，消除代码库中的“僵尸插件”。</w:t>
      </w:r>
    </w:p>
    <w:p>
      <w:pPr>
        <w:keepNext/>
        <w:spacing w:before="320" w:after="120"/>
        <w:pBdr>
          <w:bottom w:val="single" w:sz="12" w:space="4" w:color="0F2C59"/>
        </w:pBdr>
      </w:pPr>
      <w:r>
        <w:rPr>
          <w:rFonts w:ascii="Calibri" w:hAnsi="Calibri" w:eastAsia="微软雅黑"/>
          <w:b/>
          <w:i w:val="0"/>
          <w:color w:val="0F2C59"/>
          <w:sz w:val="32"/>
        </w:rPr>
        <w:t>六、 赛前冲刺实施路线图与工程验收清单</w:t>
      </w:r>
    </w:p>
    <w:p>
      <w:pPr>
        <w:spacing w:before="0" w:after="120" w:line="276" w:lineRule="auto"/>
      </w:pPr>
      <w:r>
        <w:rPr>
          <w:rFonts w:ascii="Calibri" w:hAnsi="Calibri" w:eastAsia="微软雅黑"/>
          <w:b w:val="0"/>
          <w:i w:val="0"/>
          <w:color w:val="1E293B"/>
          <w:sz w:val="22"/>
        </w:rPr>
        <w:t>建议团队按照“先堵答辩穿帮漏洞（P0）➔ 再提盲测硬指标（P0）➔ 后加惊艳杀手锏（P1）”的节奏，在 12–14 小时内完成以下四个阶段的闭环迭代：</w:t>
      </w:r>
    </w:p>
    <w:tbl>
      <w:tblPr>
        <w:tblW w:type="auto" w:w="0"/>
        <w:jc w:val="center"/>
        <w:tblLayout w:type="fixed"/>
        <w:tblLook w:firstColumn="1" w:firstRow="1" w:lastColumn="0" w:lastRow="0" w:noHBand="0" w:noVBand="1" w:val="04A0"/>
        <w:tblBorders>
          <w:top w:val="single" w:sz="6" w:space="0" w:color="0F2C59"/>
          <w:left w:val="single" w:sz="4" w:space="0" w:color="CBD5E1"/>
          <w:bottom w:val="single" w:sz="8" w:space="0" w:color="0F2C59"/>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512"/>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阶段与优先级</w:t>
            </w:r>
          </w:p>
        </w:tc>
        <w:tc>
          <w:tcPr>
            <w:tcW w:type="dxa" w:w="2664"/>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核心改进任务项</w:t>
            </w:r>
          </w:p>
        </w:tc>
        <w:tc>
          <w:tcPr>
            <w:tcW w:type="dxa" w:w="1944"/>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涉及核心源码文件</w:t>
            </w:r>
          </w:p>
        </w:tc>
        <w:tc>
          <w:tcPr>
            <w:tcW w:type="dxa" w:w="1008"/>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预计耗时</w:t>
            </w:r>
          </w:p>
        </w:tc>
        <w:tc>
          <w:tcPr>
            <w:tcW w:type="dxa" w:w="2232"/>
            <w:vAlign w:val="center"/>
            <w:tcMar>
              <w:top w:w="90" w:type="dxa"/>
              <w:bottom w:w="90" w:type="dxa"/>
              <w:left w:w="100" w:type="dxa"/>
              <w:right w:w="100" w:type="dxa"/>
            </w:tcMar>
            <w:shd w:fill="0F2C59"/>
          </w:tcPr>
          <w:p>
            <w:pPr>
              <w:keepNext/>
              <w:spacing w:before="40" w:after="40"/>
              <w:jc w:val="left"/>
            </w:pPr>
            <w:r>
              <w:rPr>
                <w:rFonts w:ascii="Calibri" w:hAnsi="Calibri" w:eastAsia="微软雅黑"/>
                <w:b/>
                <w:i w:val="0"/>
                <w:color w:val="FFFFFF"/>
                <w:sz w:val="21"/>
              </w:rPr>
              <w:t>工程验收标准 (Definition of Done)</w:t>
            </w:r>
          </w:p>
        </w:tc>
      </w:tr>
      <w:tr>
        <w:trPr>
          <w:cantSplit/>
        </w:trPr>
        <w:tc>
          <w:tcPr>
            <w:tcW w:type="dxa" w:w="1512"/>
            <w:vAlign w:val="top"/>
            <w:tcMar>
              <w:top w:w="80" w:type="dxa"/>
              <w:bottom w:w="80" w:type="dxa"/>
              <w:left w:w="100" w:type="dxa"/>
              <w:right w:w="100" w:type="dxa"/>
            </w:tcMar>
          </w:tcPr>
          <w:p>
            <w:pPr>
              <w:keepNext/>
              <w:spacing w:before="20" w:after="40" w:line="269" w:lineRule="auto"/>
            </w:pPr>
            <w:r>
              <w:rPr>
                <w:rFonts w:ascii="Calibri" w:hAnsi="Calibri" w:eastAsia="微软雅黑"/>
                <w:b/>
                <w:i w:val="0"/>
                <w:color w:val="B91C1C"/>
                <w:sz w:val="20"/>
              </w:rPr>
              <w:t>阶段一 (P0)</w:t>
              <w:br/>
              <w:t>前后端除虫</w:t>
            </w:r>
          </w:p>
        </w:tc>
        <w:tc>
          <w:tcPr>
            <w:tcW w:type="dxa" w:w="2664"/>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1. 修复竞技场硬编码分值与合规组红标</w:t>
              <w:br/>
              <w:t>2. 修复发票列表客户/品名字段空白</w:t>
              <w:br/>
              <w:t>3. 打通 CPA 签章导出与脱敏状态持久化</w:t>
              <w:br/>
              <w:t>4. 清理 TS 插件假比例与旧启动脚本</w:t>
            </w:r>
          </w:p>
        </w:tc>
        <w:tc>
          <w:tcPr>
            <w:tcW w:type="dxa" w:w="1944"/>
            <w:vAlign w:val="top"/>
            <w:tcMar>
              <w:top w:w="80" w:type="dxa"/>
              <w:bottom w:w="80" w:type="dxa"/>
              <w:left w:w="100" w:type="dxa"/>
              <w:right w:w="100" w:type="dxa"/>
            </w:tcMar>
          </w:tcPr>
          <w:p>
            <w:pPr>
              <w:keepNext/>
              <w:spacing w:before="20" w:after="40" w:line="269" w:lineRule="auto"/>
            </w:pPr>
            <w:r>
              <w:rPr>
                <w:rFonts w:ascii="Consolas" w:hAnsi="Consolas" w:eastAsia="微软雅黑"/>
                <w:b/>
                <w:i w:val="0"/>
                <w:color w:val="1A56A0"/>
                <w:sz w:val="20"/>
              </w:rPr>
              <w:t>BenchmarkArena.tsx</w:t>
            </w:r>
            <w:r>
              <w:rPr>
                <w:rFonts w:ascii="Calibri" w:hAnsi="Calibri" w:eastAsia="微软雅黑"/>
                <w:b w:val="0"/>
                <w:i w:val="0"/>
                <w:color w:val="1E293B"/>
                <w:sz w:val="20"/>
              </w:rPr>
              <w:br/>
            </w:r>
            <w:r>
              <w:rPr>
                <w:rFonts w:ascii="Consolas" w:hAnsi="Consolas" w:eastAsia="微软雅黑"/>
                <w:b/>
                <w:i w:val="0"/>
                <w:color w:val="1A56A0"/>
                <w:sz w:val="20"/>
              </w:rPr>
              <w:t>ReconciliationVisualizer.tsx</w:t>
            </w:r>
            <w:r>
              <w:rPr>
                <w:rFonts w:ascii="Calibri" w:hAnsi="Calibri" w:eastAsia="微软雅黑"/>
                <w:b w:val="0"/>
                <w:i w:val="0"/>
                <w:color w:val="1E293B"/>
                <w:sz w:val="20"/>
              </w:rPr>
              <w:br/>
            </w:r>
            <w:r>
              <w:rPr>
                <w:rFonts w:ascii="Consolas" w:hAnsi="Consolas" w:eastAsia="微软雅黑"/>
                <w:b/>
                <w:i w:val="0"/>
                <w:color w:val="1A56A0"/>
                <w:sz w:val="20"/>
              </w:rPr>
              <w:t>WorkpaperTable.tsx</w:t>
            </w:r>
            <w:r>
              <w:rPr>
                <w:rFonts w:ascii="Calibri" w:hAnsi="Calibri" w:eastAsia="微软雅黑"/>
                <w:b w:val="0"/>
                <w:i w:val="0"/>
                <w:color w:val="1E293B"/>
                <w:sz w:val="20"/>
              </w:rPr>
              <w:br/>
            </w:r>
            <w:r>
              <w:rPr>
                <w:rFonts w:ascii="Consolas" w:hAnsi="Consolas" w:eastAsia="微软雅黑"/>
                <w:b/>
                <w:i w:val="0"/>
                <w:color w:val="1A56A0"/>
                <w:sz w:val="20"/>
              </w:rPr>
              <w:t>src/api/server.py</w:t>
            </w:r>
          </w:p>
        </w:tc>
        <w:tc>
          <w:tcPr>
            <w:tcW w:type="dxa" w:w="1008"/>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2.5 小时</w:t>
            </w:r>
          </w:p>
        </w:tc>
        <w:tc>
          <w:tcPr>
            <w:tcW w:type="dxa" w:w="2232"/>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点击竞技场评测后展示真实耗时与分值，茅台/福耀/中移动显示绿色“零误报通过”；发票页客户列正常显示；导出 Excel/PDF 含实时签署的 CPA 信息</w:t>
            </w:r>
          </w:p>
        </w:tc>
      </w:tr>
      <w:tr>
        <w:trPr>
          <w:cantSplit/>
        </w:trPr>
        <w:tc>
          <w:tcPr>
            <w:tcW w:type="dxa" w:w="1512"/>
            <w:vAlign w:val="top"/>
            <w:tcMar>
              <w:top w:w="80" w:type="dxa"/>
              <w:bottom w:w="80" w:type="dxa"/>
              <w:left w:w="100" w:type="dxa"/>
              <w:right w:w="100" w:type="dxa"/>
            </w:tcMar>
            <w:shd w:fill="F4F6F9"/>
          </w:tcPr>
          <w:p>
            <w:pPr>
              <w:keepNext/>
              <w:spacing w:before="20" w:after="40" w:line="269" w:lineRule="auto"/>
            </w:pPr>
            <w:r>
              <w:rPr>
                <w:rFonts w:ascii="Calibri" w:hAnsi="Calibri" w:eastAsia="微软雅黑"/>
                <w:b/>
                <w:i w:val="0"/>
                <w:color w:val="B91C1C"/>
                <w:sz w:val="20"/>
              </w:rPr>
              <w:t>阶段二 (P0)</w:t>
              <w:br/>
              <w:t>算子大攻坚</w:t>
            </w:r>
          </w:p>
        </w:tc>
        <w:tc>
          <w:tcPr>
            <w:tcW w:type="dxa" w:w="2664"/>
            <w:vAlign w:val="top"/>
            <w:tcMar>
              <w:top w:w="80" w:type="dxa"/>
              <w:bottom w:w="80" w:type="dxa"/>
              <w:left w:w="100" w:type="dxa"/>
              <w:right w:w="100" w:type="dxa"/>
            </w:tcMar>
            <w:shd w:fill="F4F6F9"/>
          </w:tcPr>
          <w:p>
            <w:pPr>
              <w:keepNext/>
              <w:spacing w:before="20" w:after="40" w:line="269" w:lineRule="auto"/>
            </w:pPr>
            <w:r>
              <w:rPr>
                <w:rFonts w:ascii="Calibri" w:hAnsi="Calibri" w:eastAsia="微软雅黑"/>
                <w:b w:val="0"/>
                <w:i w:val="0"/>
                <w:color w:val="1E293B"/>
                <w:sz w:val="20"/>
              </w:rPr>
              <w:t>1. 重构不含税收入净额 vs 价税合计提取</w:t>
              <w:br/>
              <w:t>2. 新增“银企直连账实核对/存单质押”算子</w:t>
              <w:br/>
              <w:t>3. 新增“同日背靠背贸易/少结转成本”算子</w:t>
              <w:br/>
              <w:t>4. 新增“第三方代付/期后付款跨期”算子</w:t>
            </w:r>
          </w:p>
        </w:tc>
        <w:tc>
          <w:tcPr>
            <w:tcW w:type="dxa" w:w="1944"/>
            <w:vAlign w:val="top"/>
            <w:tcMar>
              <w:top w:w="80" w:type="dxa"/>
              <w:bottom w:w="80" w:type="dxa"/>
              <w:left w:w="100" w:type="dxa"/>
              <w:right w:w="100" w:type="dxa"/>
            </w:tcMar>
            <w:shd w:fill="F4F6F9"/>
          </w:tcPr>
          <w:p>
            <w:pPr>
              <w:keepNext/>
              <w:spacing w:before="20" w:after="40" w:line="269" w:lineRule="auto"/>
            </w:pPr>
            <w:r>
              <w:rPr>
                <w:rFonts w:ascii="Consolas" w:hAnsi="Consolas" w:eastAsia="微软雅黑"/>
                <w:b/>
                <w:i w:val="0"/>
                <w:color w:val="1A56A0"/>
                <w:sz w:val="20"/>
              </w:rPr>
              <w:t>src/plugins/audit_fraud_plugin/tools.py</w:t>
            </w:r>
            <w:r>
              <w:rPr>
                <w:rFonts w:ascii="Calibri" w:hAnsi="Calibri" w:eastAsia="微软雅黑"/>
                <w:b w:val="0"/>
                <w:i w:val="0"/>
                <w:color w:val="1E293B"/>
                <w:sz w:val="20"/>
              </w:rPr>
              <w:br/>
            </w:r>
            <w:r>
              <w:rPr>
                <w:rFonts w:ascii="Consolas" w:hAnsi="Consolas" w:eastAsia="微软雅黑"/>
                <w:b/>
                <w:i w:val="0"/>
                <w:color w:val="1A56A0"/>
                <w:sz w:val="20"/>
              </w:rPr>
              <w:t>analytics.py</w:t>
            </w:r>
            <w:r>
              <w:rPr>
                <w:rFonts w:ascii="Calibri" w:hAnsi="Calibri" w:eastAsia="微软雅黑"/>
                <w:b w:val="0"/>
                <w:i w:val="0"/>
                <w:color w:val="1E293B"/>
                <w:sz w:val="20"/>
              </w:rPr>
              <w:br/>
            </w:r>
            <w:r>
              <w:rPr>
                <w:rFonts w:ascii="Consolas" w:hAnsi="Consolas" w:eastAsia="微软雅黑"/>
                <w:b/>
                <w:i w:val="0"/>
                <w:color w:val="1A56A0"/>
                <w:sz w:val="20"/>
              </w:rPr>
              <w:t>plugin.py</w:t>
            </w:r>
          </w:p>
        </w:tc>
        <w:tc>
          <w:tcPr>
            <w:tcW w:type="dxa" w:w="1008"/>
            <w:vAlign w:val="top"/>
            <w:tcMar>
              <w:top w:w="80" w:type="dxa"/>
              <w:bottom w:w="80" w:type="dxa"/>
              <w:left w:w="100" w:type="dxa"/>
              <w:right w:w="100" w:type="dxa"/>
            </w:tcMar>
            <w:shd w:fill="F4F6F9"/>
          </w:tcPr>
          <w:p>
            <w:pPr>
              <w:keepNext/>
              <w:spacing w:before="20" w:after="40" w:line="269" w:lineRule="auto"/>
            </w:pPr>
            <w:r>
              <w:rPr>
                <w:rFonts w:ascii="Calibri" w:hAnsi="Calibri" w:eastAsia="微软雅黑"/>
                <w:b w:val="0"/>
                <w:i w:val="0"/>
                <w:color w:val="1E293B"/>
                <w:sz w:val="20"/>
              </w:rPr>
              <w:t>4.0 小时</w:t>
            </w:r>
          </w:p>
        </w:tc>
        <w:tc>
          <w:tcPr>
            <w:tcW w:type="dxa" w:w="2232"/>
            <w:vAlign w:val="top"/>
            <w:tcMar>
              <w:top w:w="80" w:type="dxa"/>
              <w:bottom w:w="80" w:type="dxa"/>
              <w:left w:w="100" w:type="dxa"/>
              <w:right w:w="100" w:type="dxa"/>
            </w:tcMar>
            <w:shd w:fill="F4F6F9"/>
          </w:tcPr>
          <w:p>
            <w:pPr>
              <w:keepNext/>
              <w:spacing w:before="20" w:after="40" w:line="269" w:lineRule="auto"/>
            </w:pPr>
            <w:r>
              <w:rPr>
                <w:rFonts w:ascii="Calibri" w:hAnsi="Calibri" w:eastAsia="微软雅黑"/>
                <w:b w:val="0"/>
                <w:i w:val="0"/>
                <w:color w:val="1E293B"/>
                <w:sz w:val="20"/>
              </w:rPr>
              <w:t xml:space="preserve">运行 </w:t>
            </w:r>
            <w:r>
              <w:rPr>
                <w:rFonts w:ascii="Consolas" w:hAnsi="Consolas" w:eastAsia="微软雅黑"/>
                <w:b/>
                <w:i w:val="0"/>
                <w:color w:val="1A56A0"/>
                <w:sz w:val="20"/>
              </w:rPr>
              <w:t>blind_real.py</w:t>
            </w:r>
            <w:r>
              <w:rPr>
                <w:rFonts w:ascii="Calibri" w:hAnsi="Calibri" w:eastAsia="微软雅黑"/>
                <w:b w:val="0"/>
                <w:i w:val="0"/>
                <w:color w:val="1E293B"/>
                <w:sz w:val="20"/>
              </w:rPr>
              <w:t xml:space="preserve"> 时，14 例外部盲测集舞弊公司检出 10/10，真值命中 ≥18/19，金额误差 ≤1% 准确率突破 85%，合规组误报 0/4</w:t>
            </w:r>
          </w:p>
        </w:tc>
      </w:tr>
      <w:tr>
        <w:trPr>
          <w:cantSplit/>
        </w:trPr>
        <w:tc>
          <w:tcPr>
            <w:tcW w:type="dxa" w:w="1512"/>
            <w:vAlign w:val="top"/>
            <w:tcMar>
              <w:top w:w="80" w:type="dxa"/>
              <w:bottom w:w="80" w:type="dxa"/>
              <w:left w:w="100" w:type="dxa"/>
              <w:right w:w="100" w:type="dxa"/>
            </w:tcMar>
          </w:tcPr>
          <w:p>
            <w:pPr>
              <w:keepNext/>
              <w:spacing w:before="20" w:after="40" w:line="269" w:lineRule="auto"/>
            </w:pPr>
            <w:r>
              <w:rPr>
                <w:rFonts w:ascii="Calibri" w:hAnsi="Calibri" w:eastAsia="微软雅黑"/>
                <w:b/>
                <w:i w:val="0"/>
                <w:color w:val="0F2C59"/>
                <w:sz w:val="20"/>
              </w:rPr>
              <w:t>阶段三 (P1)</w:t>
              <w:br/>
              <w:t>认知与合规</w:t>
            </w:r>
          </w:p>
        </w:tc>
        <w:tc>
          <w:tcPr>
            <w:tcW w:type="dxa" w:w="2664"/>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1. 引入 CSA 1221 审计重要性阈值注入 Prompt</w:t>
              <w:br/>
              <w:t>2. 增加 Grounding Guard 失败自动重推演闭环</w:t>
              <w:br/>
              <w:t xml:space="preserve">3. 移除 </w:t>
            </w:r>
            <w:r>
              <w:rPr>
                <w:rFonts w:ascii="Consolas" w:hAnsi="Consolas" w:eastAsia="微软雅黑"/>
                <w:b/>
                <w:i w:val="0"/>
                <w:color w:val="1A56A0"/>
                <w:sz w:val="20"/>
              </w:rPr>
              <w:t>_mock_completion</w:t>
            </w:r>
            <w:r>
              <w:rPr>
                <w:rFonts w:ascii="Calibri" w:hAnsi="Calibri" w:eastAsia="微软雅黑"/>
                <w:b w:val="0"/>
                <w:i w:val="0"/>
                <w:color w:val="1E293B"/>
                <w:sz w:val="20"/>
              </w:rPr>
              <w:t xml:space="preserve"> 中 25 家公司名硬编码</w:t>
            </w:r>
          </w:p>
        </w:tc>
        <w:tc>
          <w:tcPr>
            <w:tcW w:type="dxa" w:w="1944"/>
            <w:vAlign w:val="top"/>
            <w:tcMar>
              <w:top w:w="80" w:type="dxa"/>
              <w:bottom w:w="80" w:type="dxa"/>
              <w:left w:w="100" w:type="dxa"/>
              <w:right w:w="100" w:type="dxa"/>
            </w:tcMar>
          </w:tcPr>
          <w:p>
            <w:pPr>
              <w:keepNext/>
              <w:spacing w:before="20" w:after="40" w:line="269" w:lineRule="auto"/>
            </w:pPr>
            <w:r>
              <w:rPr>
                <w:rFonts w:ascii="Consolas" w:hAnsi="Consolas" w:eastAsia="微软雅黑"/>
                <w:b/>
                <w:i w:val="0"/>
                <w:color w:val="1A56A0"/>
                <w:sz w:val="20"/>
              </w:rPr>
              <w:t>prompts.py</w:t>
            </w:r>
            <w:r>
              <w:rPr>
                <w:rFonts w:ascii="Calibri" w:hAnsi="Calibri" w:eastAsia="微软雅黑"/>
                <w:b w:val="0"/>
                <w:i w:val="0"/>
                <w:color w:val="1E293B"/>
                <w:sz w:val="20"/>
              </w:rPr>
              <w:br/>
            </w:r>
            <w:r>
              <w:rPr>
                <w:rFonts w:ascii="Consolas" w:hAnsi="Consolas" w:eastAsia="微软雅黑"/>
                <w:b/>
                <w:i w:val="0"/>
                <w:color w:val="1A56A0"/>
                <w:sz w:val="20"/>
              </w:rPr>
              <w:t>src/core/harness.py</w:t>
            </w:r>
            <w:r>
              <w:rPr>
                <w:rFonts w:ascii="Calibri" w:hAnsi="Calibri" w:eastAsia="微软雅黑"/>
                <w:b w:val="0"/>
                <w:i w:val="0"/>
                <w:color w:val="1E293B"/>
                <w:sz w:val="20"/>
              </w:rPr>
              <w:br/>
            </w:r>
            <w:r>
              <w:rPr>
                <w:rFonts w:ascii="Consolas" w:hAnsi="Consolas" w:eastAsia="微软雅黑"/>
                <w:b/>
                <w:i w:val="0"/>
                <w:color w:val="1A56A0"/>
                <w:sz w:val="20"/>
              </w:rPr>
              <w:t>src/core/llm_adapter.py</w:t>
            </w:r>
          </w:p>
        </w:tc>
        <w:tc>
          <w:tcPr>
            <w:tcW w:type="dxa" w:w="1008"/>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3.0 小时</w:t>
            </w:r>
          </w:p>
        </w:tc>
        <w:tc>
          <w:tcPr>
            <w:tcW w:type="dxa" w:w="2232"/>
            <w:vAlign w:val="top"/>
            <w:tcMar>
              <w:top w:w="80" w:type="dxa"/>
              <w:bottom w:w="80" w:type="dxa"/>
              <w:left w:w="100" w:type="dxa"/>
              <w:right w:w="100" w:type="dxa"/>
            </w:tcMar>
          </w:tcPr>
          <w:p>
            <w:pPr>
              <w:keepNext/>
              <w:spacing w:before="20" w:after="40" w:line="269" w:lineRule="auto"/>
            </w:pPr>
            <w:r>
              <w:rPr>
                <w:rFonts w:ascii="Calibri" w:hAnsi="Calibri" w:eastAsia="微软雅黑"/>
                <w:b w:val="0"/>
                <w:i w:val="0"/>
                <w:color w:val="1E293B"/>
                <w:sz w:val="20"/>
              </w:rPr>
              <w:t xml:space="preserve">在线模式运行 </w:t>
            </w:r>
            <w:r>
              <w:rPr>
                <w:rFonts w:ascii="Consolas" w:hAnsi="Consolas" w:eastAsia="微软雅黑"/>
                <w:b/>
                <w:i w:val="0"/>
                <w:color w:val="1A56A0"/>
                <w:sz w:val="20"/>
              </w:rPr>
              <w:t>blind_real.py --mode online</w:t>
            </w:r>
            <w:r>
              <w:rPr>
                <w:rFonts w:ascii="Calibri" w:hAnsi="Calibri" w:eastAsia="微软雅黑"/>
                <w:b w:val="0"/>
                <w:i w:val="0"/>
                <w:color w:val="1E293B"/>
                <w:sz w:val="20"/>
              </w:rPr>
              <w:t xml:space="preserve"> 时，4 家合规对照企业 HIGH/MEDIUM 误报数降至 0；</w:t>
            </w:r>
            <w:r>
              <w:rPr>
                <w:rFonts w:ascii="Consolas" w:hAnsi="Consolas" w:eastAsia="微软雅黑"/>
                <w:b/>
                <w:i w:val="0"/>
                <w:color w:val="1A56A0"/>
                <w:sz w:val="20"/>
              </w:rPr>
              <w:t>llm_adapter.py</w:t>
            </w:r>
            <w:r>
              <w:rPr>
                <w:rFonts w:ascii="Calibri" w:hAnsi="Calibri" w:eastAsia="微软雅黑"/>
                <w:b w:val="0"/>
                <w:i w:val="0"/>
                <w:color w:val="1E293B"/>
                <w:sz w:val="20"/>
              </w:rPr>
              <w:t xml:space="preserve"> 中无任何具体公司简称字符串</w:t>
            </w:r>
          </w:p>
        </w:tc>
      </w:tr>
      <w:tr>
        <w:trPr>
          <w:cantSplit/>
        </w:trPr>
        <w:tc>
          <w:tcPr>
            <w:tcW w:type="dxa" w:w="1512"/>
            <w:vAlign w:val="top"/>
            <w:tcMar>
              <w:top w:w="80" w:type="dxa"/>
              <w:bottom w:w="80" w:type="dxa"/>
              <w:left w:w="100" w:type="dxa"/>
              <w:right w:w="100" w:type="dxa"/>
            </w:tcMar>
            <w:shd w:fill="F4F6F9"/>
          </w:tcPr>
          <w:p>
            <w:pPr>
              <w:spacing w:before="20" w:after="40" w:line="269" w:lineRule="auto"/>
            </w:pPr>
            <w:r>
              <w:rPr>
                <w:rFonts w:ascii="Calibri" w:hAnsi="Calibri" w:eastAsia="微软雅黑"/>
                <w:b/>
                <w:i w:val="0"/>
                <w:color w:val="0F2C59"/>
                <w:sz w:val="20"/>
              </w:rPr>
              <w:t>阶段四 (P1)</w:t>
              <w:br/>
              <w:t>答辩杀手锏</w:t>
            </w:r>
          </w:p>
        </w:tc>
        <w:tc>
          <w:tcPr>
            <w:tcW w:type="dxa" w:w="2664"/>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 xml:space="preserve">1. 资金拓扑图动态绑定 </w:t>
            </w:r>
            <w:r>
              <w:rPr>
                <w:rFonts w:ascii="Consolas" w:hAnsi="Consolas" w:eastAsia="微软雅黑"/>
                <w:b/>
                <w:i w:val="0"/>
                <w:color w:val="1A56A0"/>
                <w:sz w:val="20"/>
              </w:rPr>
              <w:t>detect_fund_round_trips</w:t>
            </w:r>
            <w:r>
              <w:rPr>
                <w:rFonts w:ascii="Calibri" w:hAnsi="Calibri" w:eastAsia="微软雅黑"/>
                <w:b w:val="0"/>
                <w:i w:val="0"/>
                <w:color w:val="1E293B"/>
                <w:sz w:val="20"/>
              </w:rPr>
              <w:br/>
              <w:t>2. 底稿页新增“审计调整分录(AJE)+报表重算”</w:t>
              <w:br/>
              <w:t>3. Excel 导出新增《CSA 1131 AI 留痕专表》</w:t>
              <w:br/>
              <w:t>4. 上传浮层补齐第 4 槽位（业务合同导入）</w:t>
            </w:r>
          </w:p>
        </w:tc>
        <w:tc>
          <w:tcPr>
            <w:tcW w:type="dxa" w:w="1944"/>
            <w:vAlign w:val="top"/>
            <w:tcMar>
              <w:top w:w="80" w:type="dxa"/>
              <w:bottom w:w="80" w:type="dxa"/>
              <w:left w:w="100" w:type="dxa"/>
              <w:right w:w="100" w:type="dxa"/>
            </w:tcMar>
            <w:shd w:fill="F4F6F9"/>
          </w:tcPr>
          <w:p>
            <w:pPr>
              <w:spacing w:before="20" w:after="40" w:line="269" w:lineRule="auto"/>
            </w:pPr>
            <w:r>
              <w:rPr>
                <w:rFonts w:ascii="Consolas" w:hAnsi="Consolas" w:eastAsia="微软雅黑"/>
                <w:b/>
                <w:i w:val="0"/>
                <w:color w:val="1A56A0"/>
                <w:sz w:val="20"/>
              </w:rPr>
              <w:t>FundTopologyGraph.tsx</w:t>
            </w:r>
            <w:r>
              <w:rPr>
                <w:rFonts w:ascii="Calibri" w:hAnsi="Calibri" w:eastAsia="微软雅黑"/>
                <w:b w:val="0"/>
                <w:i w:val="0"/>
                <w:color w:val="1E293B"/>
                <w:sz w:val="20"/>
              </w:rPr>
              <w:br/>
            </w:r>
            <w:r>
              <w:rPr>
                <w:rFonts w:ascii="Consolas" w:hAnsi="Consolas" w:eastAsia="微软雅黑"/>
                <w:b/>
                <w:i w:val="0"/>
                <w:color w:val="1A56A0"/>
                <w:sz w:val="20"/>
              </w:rPr>
              <w:t>WorkpaperTable.tsx</w:t>
            </w:r>
            <w:r>
              <w:rPr>
                <w:rFonts w:ascii="Calibri" w:hAnsi="Calibri" w:eastAsia="微软雅黑"/>
                <w:b w:val="0"/>
                <w:i w:val="0"/>
                <w:color w:val="1E293B"/>
                <w:sz w:val="20"/>
              </w:rPr>
              <w:br/>
            </w:r>
            <w:r>
              <w:rPr>
                <w:rFonts w:ascii="Consolas" w:hAnsi="Consolas" w:eastAsia="微软雅黑"/>
                <w:b/>
                <w:i w:val="0"/>
                <w:color w:val="1A56A0"/>
                <w:sz w:val="20"/>
              </w:rPr>
              <w:t>CustomUploadModal.tsx</w:t>
            </w:r>
            <w:r>
              <w:rPr>
                <w:rFonts w:ascii="Calibri" w:hAnsi="Calibri" w:eastAsia="微软雅黑"/>
                <w:b w:val="0"/>
                <w:i w:val="0"/>
                <w:color w:val="1E293B"/>
                <w:sz w:val="20"/>
              </w:rPr>
              <w:br/>
            </w:r>
            <w:r>
              <w:rPr>
                <w:rFonts w:ascii="Consolas" w:hAnsi="Consolas" w:eastAsia="微软雅黑"/>
                <w:b/>
                <w:i w:val="0"/>
                <w:color w:val="1A56A0"/>
                <w:sz w:val="20"/>
              </w:rPr>
              <w:t>excel_exporter.py</w:t>
            </w:r>
          </w:p>
        </w:tc>
        <w:tc>
          <w:tcPr>
            <w:tcW w:type="dxa" w:w="1008"/>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3.5 小时</w:t>
            </w:r>
          </w:p>
        </w:tc>
        <w:tc>
          <w:tcPr>
            <w:tcW w:type="dxa" w:w="2232"/>
            <w:vAlign w:val="top"/>
            <w:tcMar>
              <w:top w:w="80" w:type="dxa"/>
              <w:bottom w:w="80" w:type="dxa"/>
              <w:left w:w="100" w:type="dxa"/>
              <w:right w:w="100" w:type="dxa"/>
            </w:tcMar>
            <w:shd w:fill="F4F6F9"/>
          </w:tcPr>
          <w:p>
            <w:pPr>
              <w:spacing w:before="20" w:after="40" w:line="269" w:lineRule="auto"/>
            </w:pPr>
            <w:r>
              <w:rPr>
                <w:rFonts w:ascii="Calibri" w:hAnsi="Calibri" w:eastAsia="微软雅黑"/>
                <w:b w:val="0"/>
                <w:i w:val="0"/>
                <w:color w:val="1E293B"/>
                <w:sz w:val="20"/>
              </w:rPr>
              <w:t>拓扑图动态显示案件真实对手方与流水号；底稿页可查看借贷平衡的审计调整分录；导出的 Excel 含完整的 CSA 1131 过程记录 Sheet</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color w:val="475569"/>
        <w:sz w:val="19"/>
      </w:rPr>
      <w:t>2026年北京市大学生数智会计创新应用竞赛决赛 · 矛与盾团队 (accounting-agent-0438)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b w:val="0"/>
        <w:i/>
        <w:color w:val="475569"/>
        <w:sz w:val="19"/>
      </w:rPr>
      <w:t>DeepSeek-AuditMind (v2.2) 深度调研与全栈改进方案 · 竞赛冲刺技术白皮书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sources.rework.com/tools/ai-agents/best-ai-agents-for-finance-2026" TargetMode="External"/><Relationship Id="rId12" Type="http://schemas.openxmlformats.org/officeDocument/2006/relationships/hyperlink" Target="https://dynamicbusiness.com/featured/tech-tuesday/tech-tuesday-the-complete-guide-to-ai-accounting-agents-in-2026.html" TargetMode="External"/><Relationship Id="rId13" Type="http://schemas.openxmlformats.org/officeDocument/2006/relationships/hyperlink" Target="https://openai.com/index/basis/" TargetMode="External"/><Relationship Id="rId14" Type="http://schemas.openxmlformats.org/officeDocument/2006/relationships/hyperlink" Target="https://cursor.com/blog/basis" TargetMode="External"/><Relationship Id="rId15" Type="http://schemas.openxmlformats.org/officeDocument/2006/relationships/hyperlink" Target="https://www.numeric.io/blog/should-you-give-a-flux-about-flux-analysis" TargetMode="External"/><Relationship Id="rId16" Type="http://schemas.openxmlformats.org/officeDocument/2006/relationships/hyperlink" Target="https://www.numeric.io/blog/month-end-reconciliation" TargetMode="External"/><Relationship Id="rId17" Type="http://schemas.openxmlformats.org/officeDocument/2006/relationships/hyperlink" Target="https://trullion.com/blog/ai-in-auditing/" TargetMode="External"/><Relationship Id="rId18" Type="http://schemas.openxmlformats.org/officeDocument/2006/relationships/hyperlink" Target="https://trullion.com/blog/audit-workpapers/" TargetMode="External"/><Relationship Id="rId19" Type="http://schemas.openxmlformats.org/officeDocument/2006/relationships/hyperlink" Target="https://kpmg.com/xx/en/media/press-releases/2025/04/kpmg-advances-ai-integration-in-kpmg-clara-smart-audit-platform.html" TargetMode="External"/><Relationship Id="rId20" Type="http://schemas.openxmlformats.org/officeDocument/2006/relationships/hyperlink" Target="https://www.vero-ai.com/blog/ai-audit-tools-guide" TargetMode="External"/><Relationship Id="rId21" Type="http://schemas.openxmlformats.org/officeDocument/2006/relationships/hyperlink" Target="https://www.macroslm.com/blog/best-ai-tools-for-audit-automation" TargetMode="External"/><Relationship Id="rId22" Type="http://schemas.openxmlformats.org/officeDocument/2006/relationships/hyperlink" Target="https://www.kingdee.com/resources/articles/1443305731277940129" TargetMode="External"/><Relationship Id="rId23" Type="http://schemas.openxmlformats.org/officeDocument/2006/relationships/hyperlink" Target="https://www.cicpa.org.cn/xxfb/news/202603/t20260305_65842.html" TargetMode="External"/><Relationship Id="rId24" Type="http://schemas.openxmlformats.org/officeDocument/2006/relationships/image" Target="media/image1.png"/><Relationship Id="rId25" Type="http://schemas.openxmlformats.org/officeDocument/2006/relationships/hyperlink" Target="http://jjckb.xinhuanet.com/20260307/f9855970ace24c9faf95b81ca7f47d93/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