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黑体" w:hAnsi="黑体" w:eastAsia="黑体"/>
          <w:b/>
          <w:sz w:val="44"/>
        </w:rPr>
        <w:t>天津市大学软件学院</w:t>
      </w:r>
    </w:p>
    <w:p>
      <w:pPr>
        <w:jc w:val="center"/>
      </w:pPr>
      <w:r>
        <w:rPr>
          <w:rFonts w:ascii="黑体" w:hAnsi="黑体" w:eastAsia="黑体"/>
          <w:b/>
          <w:sz w:val="48"/>
        </w:rPr>
        <w:t>项目实训总结报告</w:t>
      </w:r>
    </w:p>
    <w:p>
      <w:pPr>
        <w:spacing w:before="720"/>
        <w:jc w:val="center"/>
      </w:pPr>
      <w:r>
        <w:rPr>
          <w:rFonts w:ascii="黑体" w:hAnsi="黑体" w:eastAsia="黑体"/>
          <w:b/>
          <w:sz w:val="40"/>
        </w:rPr>
        <w:t>乡村守护者智慧养老平台</w:t>
      </w:r>
    </w:p>
    <w:p>
      <w:pPr>
        <w:jc w:val="center"/>
      </w:pPr>
      <w:r>
        <w:rPr>
          <w:rFonts w:ascii="Times New Roman" w:hAnsi="Times New Roman" w:eastAsia="Times New Roman"/>
          <w:b w:val="0"/>
          <w:sz w:val="28"/>
        </w:rPr>
        <w:t>Rural Guardian Smart Elderly Care Platform</w:t>
      </w:r>
    </w:p>
    <w:p/>
    <w:p/>
    <w:tbl>
      <w:tblPr>
        <w:tblW w:type="auto" w:w="0"/>
        <w:jc w:val="center"/>
        <w:tblLook w:firstColumn="1" w:firstRow="1" w:lastColumn="0" w:lastRow="0" w:noHBand="0" w:noVBand="1" w:val="04A0"/>
      </w:tblPr>
      <w:tblGrid>
        <w:gridCol w:w="4561"/>
        <w:gridCol w:w="4561"/>
      </w:tblGrid>
      <w:tr>
        <w:tc>
          <w:tcPr>
            <w:tcW w:type="dxa" w:w="4561"/>
            <w:vAlign w:val="center"/>
          </w:tcPr>
          <w:p>
            <w:pPr>
              <w:jc w:val="center"/>
            </w:pPr>
            <w:r>
              <w:rPr>
                <w:rFonts w:ascii="宋体" w:hAnsi="宋体" w:eastAsia="宋体"/>
                <w:b/>
                <w:sz w:val="24"/>
              </w:rPr>
              <w:t>学院</w:t>
            </w:r>
          </w:p>
        </w:tc>
        <w:tc>
          <w:tcPr>
            <w:tcW w:type="dxa" w:w="4561"/>
            <w:vAlign w:val="center"/>
          </w:tcPr>
          <w:p>
            <w:pPr>
              <w:jc w:val="center"/>
            </w:pPr>
            <w:r>
              <w:rPr>
                <w:rFonts w:ascii="宋体" w:hAnsi="宋体" w:eastAsia="宋体"/>
                <w:b w:val="0"/>
                <w:sz w:val="24"/>
              </w:rPr>
              <w:t>天津市大学软件学院</w:t>
            </w:r>
          </w:p>
        </w:tc>
      </w:tr>
      <w:tr>
        <w:tc>
          <w:tcPr>
            <w:tcW w:type="dxa" w:w="4561"/>
            <w:vAlign w:val="center"/>
          </w:tcPr>
          <w:p>
            <w:pPr>
              <w:jc w:val="center"/>
            </w:pPr>
            <w:r>
              <w:rPr>
                <w:rFonts w:ascii="宋体" w:hAnsi="宋体" w:eastAsia="宋体"/>
                <w:b/>
                <w:sz w:val="24"/>
              </w:rPr>
              <w:t>专业</w:t>
            </w:r>
          </w:p>
        </w:tc>
        <w:tc>
          <w:tcPr>
            <w:tcW w:type="dxa" w:w="4561"/>
            <w:vAlign w:val="center"/>
          </w:tcPr>
          <w:p>
            <w:pPr>
              <w:jc w:val="center"/>
            </w:pPr>
            <w:r>
              <w:rPr>
                <w:rFonts w:ascii="宋体" w:hAnsi="宋体" w:eastAsia="宋体"/>
                <w:b w:val="0"/>
                <w:sz w:val="24"/>
              </w:rPr>
              <w:t>____________________</w:t>
            </w:r>
          </w:p>
        </w:tc>
      </w:tr>
      <w:tr>
        <w:tc>
          <w:tcPr>
            <w:tcW w:type="dxa" w:w="4561"/>
            <w:vAlign w:val="center"/>
          </w:tcPr>
          <w:p>
            <w:pPr>
              <w:jc w:val="center"/>
            </w:pPr>
            <w:r>
              <w:rPr>
                <w:rFonts w:ascii="宋体" w:hAnsi="宋体" w:eastAsia="宋体"/>
                <w:b/>
                <w:sz w:val="24"/>
              </w:rPr>
              <w:t>班级</w:t>
            </w:r>
          </w:p>
        </w:tc>
        <w:tc>
          <w:tcPr>
            <w:tcW w:type="dxa" w:w="4561"/>
            <w:vAlign w:val="center"/>
          </w:tcPr>
          <w:p>
            <w:pPr>
              <w:jc w:val="center"/>
            </w:pPr>
            <w:r>
              <w:rPr>
                <w:rFonts w:ascii="宋体" w:hAnsi="宋体" w:eastAsia="宋体"/>
                <w:b w:val="0"/>
                <w:sz w:val="24"/>
              </w:rPr>
              <w:t>____________________</w:t>
            </w:r>
          </w:p>
        </w:tc>
      </w:tr>
      <w:tr>
        <w:tc>
          <w:tcPr>
            <w:tcW w:type="dxa" w:w="4561"/>
            <w:vAlign w:val="center"/>
          </w:tcPr>
          <w:p>
            <w:pPr>
              <w:jc w:val="center"/>
            </w:pPr>
            <w:r>
              <w:rPr>
                <w:rFonts w:ascii="宋体" w:hAnsi="宋体" w:eastAsia="宋体"/>
                <w:b/>
                <w:sz w:val="24"/>
              </w:rPr>
              <w:t>姓名</w:t>
            </w:r>
          </w:p>
        </w:tc>
        <w:tc>
          <w:tcPr>
            <w:tcW w:type="dxa" w:w="4561"/>
            <w:vAlign w:val="center"/>
          </w:tcPr>
          <w:p>
            <w:pPr>
              <w:jc w:val="center"/>
            </w:pPr>
            <w:r>
              <w:rPr>
                <w:rFonts w:ascii="宋体" w:hAnsi="宋体" w:eastAsia="宋体"/>
                <w:b w:val="0"/>
                <w:sz w:val="24"/>
              </w:rPr>
              <w:t>____________________</w:t>
            </w:r>
          </w:p>
        </w:tc>
      </w:tr>
      <w:tr>
        <w:tc>
          <w:tcPr>
            <w:tcW w:type="dxa" w:w="4561"/>
            <w:vAlign w:val="center"/>
          </w:tcPr>
          <w:p>
            <w:pPr>
              <w:jc w:val="center"/>
            </w:pPr>
            <w:r>
              <w:rPr>
                <w:rFonts w:ascii="宋体" w:hAnsi="宋体" w:eastAsia="宋体"/>
                <w:b/>
                <w:sz w:val="24"/>
              </w:rPr>
              <w:t>学号</w:t>
            </w:r>
          </w:p>
        </w:tc>
        <w:tc>
          <w:tcPr>
            <w:tcW w:type="dxa" w:w="4561"/>
            <w:vAlign w:val="center"/>
          </w:tcPr>
          <w:p>
            <w:pPr>
              <w:jc w:val="center"/>
            </w:pPr>
            <w:r>
              <w:rPr>
                <w:rFonts w:ascii="宋体" w:hAnsi="宋体" w:eastAsia="宋体"/>
                <w:b w:val="0"/>
                <w:sz w:val="24"/>
              </w:rPr>
              <w:t>____________________</w:t>
            </w:r>
          </w:p>
        </w:tc>
      </w:tr>
      <w:tr>
        <w:tc>
          <w:tcPr>
            <w:tcW w:type="dxa" w:w="4561"/>
            <w:vAlign w:val="center"/>
          </w:tcPr>
          <w:p>
            <w:pPr>
              <w:jc w:val="center"/>
            </w:pPr>
            <w:r>
              <w:rPr>
                <w:rFonts w:ascii="宋体" w:hAnsi="宋体" w:eastAsia="宋体"/>
                <w:b/>
                <w:sz w:val="24"/>
              </w:rPr>
              <w:t>指导教师</w:t>
            </w:r>
          </w:p>
        </w:tc>
        <w:tc>
          <w:tcPr>
            <w:tcW w:type="dxa" w:w="4561"/>
            <w:vAlign w:val="center"/>
          </w:tcPr>
          <w:p>
            <w:pPr>
              <w:jc w:val="center"/>
            </w:pPr>
            <w:r>
              <w:rPr>
                <w:rFonts w:ascii="宋体" w:hAnsi="宋体" w:eastAsia="宋体"/>
                <w:b w:val="0"/>
                <w:sz w:val="24"/>
              </w:rPr>
              <w:t>____________________</w:t>
            </w:r>
          </w:p>
        </w:tc>
      </w:tr>
      <w:tr>
        <w:tc>
          <w:tcPr>
            <w:tcW w:type="dxa" w:w="4561"/>
            <w:vAlign w:val="center"/>
          </w:tcPr>
          <w:p>
            <w:pPr>
              <w:jc w:val="center"/>
            </w:pPr>
            <w:r>
              <w:rPr>
                <w:rFonts w:ascii="宋体" w:hAnsi="宋体" w:eastAsia="宋体"/>
                <w:b/>
                <w:sz w:val="24"/>
              </w:rPr>
              <w:t>完成日期</w:t>
            </w:r>
          </w:p>
        </w:tc>
        <w:tc>
          <w:tcPr>
            <w:tcW w:type="dxa" w:w="4561"/>
            <w:vAlign w:val="center"/>
          </w:tcPr>
          <w:p>
            <w:pPr>
              <w:jc w:val="center"/>
            </w:pPr>
            <w:r>
              <w:rPr>
                <w:rFonts w:ascii="宋体" w:hAnsi="宋体" w:eastAsia="宋体"/>
                <w:b w:val="0"/>
                <w:sz w:val="24"/>
              </w:rPr>
              <w:t>2026 年 6 月</w:t>
            </w:r>
          </w:p>
        </w:tc>
      </w:tr>
    </w:tbl>
    <w:p/>
    <w:p>
      <w:pPr>
        <w:jc w:val="center"/>
      </w:pPr>
      <w:r>
        <w:rPr>
          <w:rFonts w:ascii="宋体" w:hAnsi="宋体" w:eastAsia="宋体"/>
          <w:b w:val="0"/>
          <w:sz w:val="21"/>
        </w:rPr>
        <w:t>说明：提交前请补充个人信息。</w:t>
      </w:r>
    </w:p>
    <w:p>
      <w:r>
        <w:br w:type="page"/>
      </w:r>
    </w:p>
    <w:p>
      <w:pPr>
        <w:pStyle w:val="Heading1"/>
        <w:spacing w:before="240" w:after="120"/>
        <w:jc w:val="left"/>
      </w:pPr>
      <w:r>
        <w:rPr>
          <w:rFonts w:ascii="黑体" w:hAnsi="黑体" w:eastAsia="黑体"/>
          <w:b/>
          <w:sz w:val="32"/>
        </w:rPr>
        <w:t>目录</w:t>
      </w:r>
    </w:p>
    <w:p>
      <w:fldSimple w:instr="TOC \o &quot;1-3&quot; \h \z \u">
        <w:r>
          <w:t>右键更新目录后显示完整内容</w:t>
        </w:r>
      </w:fldSimple>
    </w:p>
    <w:p>
      <w:r>
        <w:br w:type="page"/>
      </w:r>
    </w:p>
    <w:p>
      <w:pPr>
        <w:pStyle w:val="Heading1"/>
        <w:spacing w:before="240" w:after="120"/>
        <w:jc w:val="left"/>
      </w:pPr>
      <w:r>
        <w:rPr>
          <w:rFonts w:ascii="黑体" w:hAnsi="黑体" w:eastAsia="黑体"/>
          <w:b/>
          <w:sz w:val="32"/>
        </w:rPr>
        <w:t>一、项目概述</w:t>
      </w:r>
    </w:p>
    <w:p>
      <w:pPr>
        <w:pStyle w:val="Heading2"/>
        <w:spacing w:before="120" w:after="60"/>
        <w:jc w:val="left"/>
      </w:pPr>
      <w:r>
        <w:rPr>
          <w:rFonts w:ascii="黑体" w:hAnsi="黑体" w:eastAsia="黑体"/>
          <w:b/>
          <w:sz w:val="28"/>
        </w:rPr>
        <w:t>1.1 项目背景</w:t>
      </w:r>
    </w:p>
    <w:p>
      <w:pPr>
        <w:spacing w:line="360" w:lineRule="auto" w:after="0"/>
        <w:ind w:firstLine="839"/>
        <w:jc w:val="both"/>
      </w:pPr>
      <w:r>
        <w:rPr>
          <w:rFonts w:ascii="宋体" w:hAnsi="宋体" w:eastAsia="宋体"/>
          <w:b w:val="0"/>
          <w:sz w:val="24"/>
        </w:rPr>
        <w:t>随着我国老龄化进程不断加快，农村地区空巢老人、独居老人数量持续增长，传统养老模式在健康监测、应急响应、日常照护和服务协同方面存在明显短板。乡村地区信息化基础相对薄弱、服务人员不足、响应链条长，使得老人跌倒、突发疾病、走失、长时间无人照看等问题具有较高风险。因此，构建一个集健康监测、预警处置、服务协同、家属关爱与政府监管于一体的智慧养老平台，具有明显的现实意义和社会价值。</w:t>
      </w:r>
    </w:p>
    <w:p>
      <w:pPr>
        <w:spacing w:line="360" w:lineRule="auto" w:after="0"/>
        <w:ind w:firstLine="839"/>
        <w:jc w:val="both"/>
      </w:pPr>
      <w:r>
        <w:rPr>
          <w:rFonts w:ascii="宋体" w:hAnsi="宋体" w:eastAsia="宋体"/>
          <w:b w:val="0"/>
          <w:sz w:val="24"/>
        </w:rPr>
        <w:t>“乡村守护者智慧养老平台”即是在这一背景下设计与实现的综合性项目。平台围绕“老人、家属、村级专员、服务商、政府管理员”五类角色展开，建立从数据采集到预警分析、从工单流转到服务评价、从管理驾驶舱到实时大屏展示的完整闭环，目标是形成一个面向乡村养老场景的数字化治理与服务平台。</w:t>
      </w:r>
    </w:p>
    <w:p>
      <w:pPr>
        <w:pStyle w:val="Heading2"/>
        <w:spacing w:before="120" w:after="60"/>
        <w:jc w:val="left"/>
      </w:pPr>
      <w:r>
        <w:rPr>
          <w:rFonts w:ascii="黑体" w:hAnsi="黑体" w:eastAsia="黑体"/>
          <w:b/>
          <w:sz w:val="28"/>
        </w:rPr>
        <w:t>1.2 项目目标</w:t>
      </w:r>
    </w:p>
    <w:p>
      <w:pPr>
        <w:pStyle w:val="ListBullet"/>
        <w:spacing w:line="360" w:lineRule="auto"/>
      </w:pPr>
      <w:r>
        <w:rPr>
          <w:rFonts w:ascii="宋体" w:hAnsi="宋体" w:eastAsia="宋体"/>
          <w:b w:val="0"/>
          <w:sz w:val="24"/>
        </w:rPr>
        <w:t>建设多角色协同的智慧养老平台，实现政府监管、村级执行、服务商交付、家属关爱和老人自服务的统一接入。</w:t>
      </w:r>
    </w:p>
    <w:p>
      <w:pPr>
        <w:pStyle w:val="ListBullet"/>
        <w:spacing w:line="360" w:lineRule="auto"/>
      </w:pPr>
      <w:r>
        <w:rPr>
          <w:rFonts w:ascii="宋体" w:hAnsi="宋体" w:eastAsia="宋体"/>
          <w:b w:val="0"/>
          <w:sz w:val="24"/>
        </w:rPr>
        <w:t>实现老人健康数据采集、异常预警、应急响应、服务工单、审批流转和客服沟通等关键业务闭环。</w:t>
      </w:r>
    </w:p>
    <w:p>
      <w:pPr>
        <w:pStyle w:val="ListBullet"/>
        <w:spacing w:line="360" w:lineRule="auto"/>
      </w:pPr>
      <w:r>
        <w:rPr>
          <w:rFonts w:ascii="宋体" w:hAnsi="宋体" w:eastAsia="宋体"/>
          <w:b w:val="0"/>
          <w:sz w:val="24"/>
        </w:rPr>
        <w:t>通过数据大屏和三维地图等可视化手段提升平台运营感知能力与指挥调度效率。</w:t>
      </w:r>
    </w:p>
    <w:p>
      <w:pPr>
        <w:pStyle w:val="ListBullet"/>
        <w:spacing w:line="360" w:lineRule="auto"/>
      </w:pPr>
      <w:r>
        <w:rPr>
          <w:rFonts w:ascii="宋体" w:hAnsi="宋体" w:eastAsia="宋体"/>
          <w:b w:val="0"/>
          <w:sz w:val="24"/>
        </w:rPr>
        <w:t>预留 IoT 设备接入能力，支持智能手环、MQTT 数据流、WebSocket 实时消息等扩展。</w:t>
      </w:r>
    </w:p>
    <w:p>
      <w:pPr>
        <w:pStyle w:val="Heading2"/>
        <w:spacing w:before="120" w:after="60"/>
        <w:jc w:val="left"/>
      </w:pPr>
      <w:r>
        <w:rPr>
          <w:rFonts w:ascii="黑体" w:hAnsi="黑体" w:eastAsia="黑体"/>
          <w:b/>
          <w:sz w:val="28"/>
        </w:rPr>
        <w:t>1.3 项目成果概述</w:t>
      </w:r>
    </w:p>
    <w:p>
      <w:pPr>
        <w:spacing w:line="360" w:lineRule="auto" w:after="0"/>
        <w:ind w:firstLine="839"/>
        <w:jc w:val="both"/>
      </w:pPr>
      <w:r>
        <w:rPr>
          <w:rFonts w:ascii="宋体" w:hAnsi="宋体" w:eastAsia="宋体"/>
          <w:b w:val="0"/>
          <w:sz w:val="24"/>
        </w:rPr>
        <w:t>项目已完成前后端一体化实现。前端采用 Vue 3、Pinia、Vue Router、Element Plus、ECharts 与 Three.js 技术栈，后端采用 Node.js、Express、MySQL 与 WebSocket 作为主要基础设施。系统已实现登录认证、老人信息管理、健康档案管理、预警管理、工单管理、审批中心、设备监控、政府端运营驾驶舱、大屏展示以及客服实时通信等核心能力。</w:t>
      </w:r>
    </w:p>
    <w:p>
      <w:pPr>
        <w:pStyle w:val="Heading1"/>
        <w:spacing w:before="240" w:after="120"/>
        <w:jc w:val="left"/>
      </w:pPr>
      <w:r>
        <w:rPr>
          <w:rFonts w:ascii="黑体" w:hAnsi="黑体" w:eastAsia="黑体"/>
          <w:b/>
          <w:sz w:val="32"/>
        </w:rPr>
        <w:t>二、需求分析</w:t>
      </w:r>
    </w:p>
    <w:p>
      <w:pPr>
        <w:pStyle w:val="Heading2"/>
        <w:spacing w:before="120" w:after="60"/>
        <w:jc w:val="left"/>
      </w:pPr>
      <w:r>
        <w:rPr>
          <w:rFonts w:ascii="黑体" w:hAnsi="黑体" w:eastAsia="黑体"/>
          <w:b/>
          <w:sz w:val="28"/>
        </w:rPr>
        <w:t>2.1 业务痛点分析</w:t>
      </w:r>
    </w:p>
    <w:p>
      <w:pPr>
        <w:pStyle w:val="ListBullet"/>
        <w:spacing w:line="360" w:lineRule="auto"/>
      </w:pPr>
      <w:r>
        <w:rPr>
          <w:rFonts w:ascii="宋体" w:hAnsi="宋体" w:eastAsia="宋体"/>
          <w:b w:val="0"/>
          <w:sz w:val="24"/>
        </w:rPr>
        <w:t>老人分布分散，传统人工巡访成本高、频率低，难以及时发现异常情况。</w:t>
      </w:r>
    </w:p>
    <w:p>
      <w:pPr>
        <w:pStyle w:val="ListBullet"/>
        <w:spacing w:line="360" w:lineRule="auto"/>
      </w:pPr>
      <w:r>
        <w:rPr>
          <w:rFonts w:ascii="宋体" w:hAnsi="宋体" w:eastAsia="宋体"/>
          <w:b w:val="0"/>
          <w:sz w:val="24"/>
        </w:rPr>
        <w:t>村级专员、家属、服务商与政府部门之间信息不对称，处理链路缺少统一平台支撑。</w:t>
      </w:r>
    </w:p>
    <w:p>
      <w:pPr>
        <w:pStyle w:val="ListBullet"/>
        <w:spacing w:line="360" w:lineRule="auto"/>
      </w:pPr>
      <w:r>
        <w:rPr>
          <w:rFonts w:ascii="宋体" w:hAnsi="宋体" w:eastAsia="宋体"/>
          <w:b w:val="0"/>
          <w:sz w:val="24"/>
        </w:rPr>
        <w:t>纸质台账和电话沟通方式难以追踪告警、工单和审批过程，责任边界不清晰。</w:t>
      </w:r>
    </w:p>
    <w:p>
      <w:pPr>
        <w:pStyle w:val="ListBullet"/>
        <w:spacing w:line="360" w:lineRule="auto"/>
      </w:pPr>
      <w:r>
        <w:rPr>
          <w:rFonts w:ascii="宋体" w:hAnsi="宋体" w:eastAsia="宋体"/>
          <w:b w:val="0"/>
          <w:sz w:val="24"/>
        </w:rPr>
        <w:t>现有养老平台多以单端或双端为主，缺乏乡村场景下多角色协同治理能力。</w:t>
      </w:r>
    </w:p>
    <w:p>
      <w:pPr>
        <w:pStyle w:val="ListBullet"/>
        <w:spacing w:line="360" w:lineRule="auto"/>
      </w:pPr>
      <w:r>
        <w:rPr>
          <w:rFonts w:ascii="宋体" w:hAnsi="宋体" w:eastAsia="宋体"/>
          <w:b w:val="0"/>
          <w:sz w:val="24"/>
        </w:rPr>
        <w:t>农村养老场景对适老化、低成本、可复制部署的要求更高。</w:t>
      </w:r>
    </w:p>
    <w:p>
      <w:pPr>
        <w:pStyle w:val="Heading2"/>
        <w:spacing w:before="120" w:after="60"/>
        <w:jc w:val="left"/>
      </w:pPr>
      <w:r>
        <w:rPr>
          <w:rFonts w:ascii="黑体" w:hAnsi="黑体" w:eastAsia="黑体"/>
          <w:b/>
          <w:sz w:val="28"/>
        </w:rPr>
        <w:t>2.2 用户角色分析</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jc w:val="center"/>
            </w:pPr>
            <w:r/>
            <w:r>
              <w:rPr>
                <w:rFonts w:ascii="宋体" w:hAnsi="宋体" w:eastAsia="宋体"/>
                <w:b/>
                <w:sz w:val="21"/>
              </w:rPr>
              <w:t>角色</w:t>
            </w:r>
          </w:p>
        </w:tc>
        <w:tc>
          <w:tcPr>
            <w:tcW w:type="dxa" w:w="3041"/>
            <w:vAlign w:val="center"/>
          </w:tcPr>
          <w:p>
            <w:pPr>
              <w:jc w:val="center"/>
            </w:pPr>
            <w:r/>
            <w:r>
              <w:rPr>
                <w:rFonts w:ascii="宋体" w:hAnsi="宋体" w:eastAsia="宋体"/>
                <w:b/>
                <w:sz w:val="21"/>
              </w:rPr>
              <w:t>核心职责</w:t>
            </w:r>
          </w:p>
        </w:tc>
        <w:tc>
          <w:tcPr>
            <w:tcW w:type="dxa" w:w="3041"/>
            <w:vAlign w:val="center"/>
          </w:tcPr>
          <w:p>
            <w:pPr>
              <w:jc w:val="center"/>
            </w:pPr>
            <w:r/>
            <w:r>
              <w:rPr>
                <w:rFonts w:ascii="宋体" w:hAnsi="宋体" w:eastAsia="宋体"/>
                <w:b/>
                <w:sz w:val="21"/>
              </w:rPr>
              <w:t>主要使用场景</w:t>
            </w:r>
          </w:p>
        </w:tc>
      </w:tr>
      <w:tr>
        <w:tc>
          <w:tcPr>
            <w:tcW w:type="dxa" w:w="3041"/>
            <w:vAlign w:val="center"/>
          </w:tcPr>
          <w:p>
            <w:pPr>
              <w:jc w:val="center"/>
            </w:pPr>
            <w:r/>
            <w:r>
              <w:rPr>
                <w:rFonts w:ascii="宋体" w:hAnsi="宋体" w:eastAsia="宋体"/>
                <w:b w:val="0"/>
                <w:sz w:val="21"/>
              </w:rPr>
              <w:t>政府管理员</w:t>
            </w:r>
          </w:p>
        </w:tc>
        <w:tc>
          <w:tcPr>
            <w:tcW w:type="dxa" w:w="3041"/>
            <w:vAlign w:val="center"/>
          </w:tcPr>
          <w:p>
            <w:pPr>
              <w:jc w:val="center"/>
            </w:pPr>
            <w:r/>
            <w:r>
              <w:rPr>
                <w:rFonts w:ascii="宋体" w:hAnsi="宋体" w:eastAsia="宋体"/>
                <w:b w:val="0"/>
                <w:sz w:val="21"/>
              </w:rPr>
              <w:t>全局监管、数据查看、统筹协调、服务配置</w:t>
            </w:r>
          </w:p>
        </w:tc>
        <w:tc>
          <w:tcPr>
            <w:tcW w:type="dxa" w:w="3041"/>
            <w:vAlign w:val="center"/>
          </w:tcPr>
          <w:p>
            <w:pPr>
              <w:jc w:val="center"/>
            </w:pPr>
            <w:r/>
            <w:r>
              <w:rPr>
                <w:rFonts w:ascii="宋体" w:hAnsi="宋体" w:eastAsia="宋体"/>
                <w:b w:val="0"/>
                <w:sz w:val="21"/>
              </w:rPr>
              <w:t>查看驾驶舱、大屏、审批与设备运行状态</w:t>
            </w:r>
          </w:p>
        </w:tc>
      </w:tr>
      <w:tr>
        <w:tc>
          <w:tcPr>
            <w:tcW w:type="dxa" w:w="3041"/>
            <w:vAlign w:val="center"/>
          </w:tcPr>
          <w:p>
            <w:pPr>
              <w:jc w:val="center"/>
            </w:pPr>
            <w:r/>
            <w:r>
              <w:rPr>
                <w:rFonts w:ascii="宋体" w:hAnsi="宋体" w:eastAsia="宋体"/>
                <w:b w:val="0"/>
                <w:sz w:val="21"/>
              </w:rPr>
              <w:t>村级专员</w:t>
            </w:r>
          </w:p>
        </w:tc>
        <w:tc>
          <w:tcPr>
            <w:tcW w:type="dxa" w:w="3041"/>
            <w:vAlign w:val="center"/>
          </w:tcPr>
          <w:p>
            <w:pPr>
              <w:jc w:val="center"/>
            </w:pPr>
            <w:r/>
            <w:r>
              <w:rPr>
                <w:rFonts w:ascii="宋体" w:hAnsi="宋体" w:eastAsia="宋体"/>
                <w:b w:val="0"/>
                <w:sz w:val="21"/>
              </w:rPr>
              <w:t>本村老人管理、预警接单、线下核查、工单派发</w:t>
            </w:r>
          </w:p>
        </w:tc>
        <w:tc>
          <w:tcPr>
            <w:tcW w:type="dxa" w:w="3041"/>
            <w:vAlign w:val="center"/>
          </w:tcPr>
          <w:p>
            <w:pPr>
              <w:jc w:val="center"/>
            </w:pPr>
            <w:r/>
            <w:r>
              <w:rPr>
                <w:rFonts w:ascii="宋体" w:hAnsi="宋体" w:eastAsia="宋体"/>
                <w:b w:val="0"/>
                <w:sz w:val="21"/>
              </w:rPr>
              <w:t>处理老人异常、确认上门服务</w:t>
            </w:r>
          </w:p>
        </w:tc>
      </w:tr>
      <w:tr>
        <w:tc>
          <w:tcPr>
            <w:tcW w:type="dxa" w:w="3041"/>
            <w:vAlign w:val="center"/>
          </w:tcPr>
          <w:p>
            <w:pPr>
              <w:jc w:val="center"/>
            </w:pPr>
            <w:r/>
            <w:r>
              <w:rPr>
                <w:rFonts w:ascii="宋体" w:hAnsi="宋体" w:eastAsia="宋体"/>
                <w:b w:val="0"/>
                <w:sz w:val="21"/>
              </w:rPr>
              <w:t>服务商</w:t>
            </w:r>
          </w:p>
        </w:tc>
        <w:tc>
          <w:tcPr>
            <w:tcW w:type="dxa" w:w="3041"/>
            <w:vAlign w:val="center"/>
          </w:tcPr>
          <w:p>
            <w:pPr>
              <w:jc w:val="center"/>
            </w:pPr>
            <w:r/>
            <w:r>
              <w:rPr>
                <w:rFonts w:ascii="宋体" w:hAnsi="宋体" w:eastAsia="宋体"/>
                <w:b w:val="0"/>
                <w:sz w:val="21"/>
              </w:rPr>
              <w:t>接收工单、执行服务、反馈结果</w:t>
            </w:r>
          </w:p>
        </w:tc>
        <w:tc>
          <w:tcPr>
            <w:tcW w:type="dxa" w:w="3041"/>
            <w:vAlign w:val="center"/>
          </w:tcPr>
          <w:p>
            <w:pPr>
              <w:jc w:val="center"/>
            </w:pPr>
            <w:r/>
            <w:r>
              <w:rPr>
                <w:rFonts w:ascii="宋体" w:hAnsi="宋体" w:eastAsia="宋体"/>
                <w:b w:val="0"/>
                <w:sz w:val="21"/>
              </w:rPr>
              <w:t>医疗、照护、陪伴等服务交付</w:t>
            </w:r>
          </w:p>
        </w:tc>
      </w:tr>
      <w:tr>
        <w:tc>
          <w:tcPr>
            <w:tcW w:type="dxa" w:w="3041"/>
            <w:vAlign w:val="center"/>
          </w:tcPr>
          <w:p>
            <w:pPr>
              <w:jc w:val="center"/>
            </w:pPr>
            <w:r/>
            <w:r>
              <w:rPr>
                <w:rFonts w:ascii="宋体" w:hAnsi="宋体" w:eastAsia="宋体"/>
                <w:b w:val="0"/>
                <w:sz w:val="21"/>
              </w:rPr>
              <w:t>家属</w:t>
            </w:r>
          </w:p>
        </w:tc>
        <w:tc>
          <w:tcPr>
            <w:tcW w:type="dxa" w:w="3041"/>
            <w:vAlign w:val="center"/>
          </w:tcPr>
          <w:p>
            <w:pPr>
              <w:jc w:val="center"/>
            </w:pPr>
            <w:r/>
            <w:r>
              <w:rPr>
                <w:rFonts w:ascii="宋体" w:hAnsi="宋体" w:eastAsia="宋体"/>
                <w:b w:val="0"/>
                <w:sz w:val="21"/>
              </w:rPr>
              <w:t>查看老人健康状态、接收通知、确认结果</w:t>
            </w:r>
          </w:p>
        </w:tc>
        <w:tc>
          <w:tcPr>
            <w:tcW w:type="dxa" w:w="3041"/>
            <w:vAlign w:val="center"/>
          </w:tcPr>
          <w:p>
            <w:pPr>
              <w:jc w:val="center"/>
            </w:pPr>
            <w:r/>
            <w:r>
              <w:rPr>
                <w:rFonts w:ascii="宋体" w:hAnsi="宋体" w:eastAsia="宋体"/>
                <w:b w:val="0"/>
                <w:sz w:val="21"/>
              </w:rPr>
              <w:t>关注老人安全与服务进度</w:t>
            </w:r>
          </w:p>
        </w:tc>
      </w:tr>
      <w:tr>
        <w:tc>
          <w:tcPr>
            <w:tcW w:type="dxa" w:w="3041"/>
            <w:vAlign w:val="center"/>
          </w:tcPr>
          <w:p>
            <w:pPr>
              <w:jc w:val="center"/>
            </w:pPr>
            <w:r/>
            <w:r>
              <w:rPr>
                <w:rFonts w:ascii="宋体" w:hAnsi="宋体" w:eastAsia="宋体"/>
                <w:b w:val="0"/>
                <w:sz w:val="21"/>
              </w:rPr>
              <w:t>老人</w:t>
            </w:r>
          </w:p>
        </w:tc>
        <w:tc>
          <w:tcPr>
            <w:tcW w:type="dxa" w:w="3041"/>
            <w:vAlign w:val="center"/>
          </w:tcPr>
          <w:p>
            <w:pPr>
              <w:jc w:val="center"/>
            </w:pPr>
            <w:r/>
            <w:r>
              <w:rPr>
                <w:rFonts w:ascii="宋体" w:hAnsi="宋体" w:eastAsia="宋体"/>
                <w:b w:val="0"/>
                <w:sz w:val="21"/>
              </w:rPr>
              <w:t>查看个人信息、发起 SOS、接受服务</w:t>
            </w:r>
          </w:p>
        </w:tc>
        <w:tc>
          <w:tcPr>
            <w:tcW w:type="dxa" w:w="3041"/>
            <w:vAlign w:val="center"/>
          </w:tcPr>
          <w:p>
            <w:pPr>
              <w:jc w:val="center"/>
            </w:pPr>
            <w:r/>
            <w:r>
              <w:rPr>
                <w:rFonts w:ascii="宋体" w:hAnsi="宋体" w:eastAsia="宋体"/>
                <w:b w:val="0"/>
                <w:sz w:val="21"/>
              </w:rPr>
              <w:t>适老化的基础自服务与求助</w:t>
            </w:r>
          </w:p>
        </w:tc>
      </w:tr>
    </w:tbl>
    <w:p/>
    <w:p>
      <w:pPr>
        <w:pStyle w:val="Heading2"/>
        <w:spacing w:before="120" w:after="60"/>
        <w:jc w:val="left"/>
      </w:pPr>
      <w:r>
        <w:rPr>
          <w:rFonts w:ascii="黑体" w:hAnsi="黑体" w:eastAsia="黑体"/>
          <w:b/>
          <w:sz w:val="28"/>
        </w:rPr>
        <w:t>2.3 功能需求分析</w:t>
      </w:r>
    </w:p>
    <w:p>
      <w:pPr>
        <w:pStyle w:val="ListBullet"/>
        <w:spacing w:line="360" w:lineRule="auto"/>
      </w:pPr>
      <w:r>
        <w:rPr>
          <w:rFonts w:ascii="宋体" w:hAnsi="宋体" w:eastAsia="宋体"/>
          <w:b w:val="0"/>
          <w:sz w:val="24"/>
        </w:rPr>
        <w:t>认证与权限：支持账号密码登录、JWT 鉴权、路由权限控制与多角色访问隔离。</w:t>
      </w:r>
    </w:p>
    <w:p>
      <w:pPr>
        <w:pStyle w:val="ListBullet"/>
        <w:spacing w:line="360" w:lineRule="auto"/>
      </w:pPr>
      <w:r>
        <w:rPr>
          <w:rFonts w:ascii="宋体" w:hAnsi="宋体" w:eastAsia="宋体"/>
          <w:b w:val="0"/>
          <w:sz w:val="24"/>
        </w:rPr>
        <w:t>老人管理：维护老人基础信息、村庄归属、健康状态、家属绑定关系。</w:t>
      </w:r>
    </w:p>
    <w:p>
      <w:pPr>
        <w:pStyle w:val="ListBullet"/>
        <w:spacing w:line="360" w:lineRule="auto"/>
      </w:pPr>
      <w:r>
        <w:rPr>
          <w:rFonts w:ascii="宋体" w:hAnsi="宋体" w:eastAsia="宋体"/>
          <w:b w:val="0"/>
          <w:sz w:val="24"/>
        </w:rPr>
        <w:t>健康管理：记录心率、血氧、体温、步数、睡眠等健康指标并形成档案。</w:t>
      </w:r>
    </w:p>
    <w:p>
      <w:pPr>
        <w:pStyle w:val="ListBullet"/>
        <w:spacing w:line="360" w:lineRule="auto"/>
      </w:pPr>
      <w:r>
        <w:rPr>
          <w:rFonts w:ascii="宋体" w:hAnsi="宋体" w:eastAsia="宋体"/>
          <w:b w:val="0"/>
          <w:sz w:val="24"/>
        </w:rPr>
        <w:t>预警管理：支持告警创建、接单、处置、家属确认、升级与流转追踪。</w:t>
      </w:r>
    </w:p>
    <w:p>
      <w:pPr>
        <w:pStyle w:val="ListBullet"/>
        <w:spacing w:line="360" w:lineRule="auto"/>
      </w:pPr>
      <w:r>
        <w:rPr>
          <w:rFonts w:ascii="宋体" w:hAnsi="宋体" w:eastAsia="宋体"/>
          <w:b w:val="0"/>
          <w:sz w:val="24"/>
        </w:rPr>
        <w:t>工单管理：支持创建、派单、接单、执行、评价以及流转日志记录。</w:t>
      </w:r>
    </w:p>
    <w:p>
      <w:pPr>
        <w:pStyle w:val="ListBullet"/>
        <w:spacing w:line="360" w:lineRule="auto"/>
      </w:pPr>
      <w:r>
        <w:rPr>
          <w:rFonts w:ascii="宋体" w:hAnsi="宋体" w:eastAsia="宋体"/>
          <w:b w:val="0"/>
          <w:sz w:val="24"/>
        </w:rPr>
        <w:t>审批管理：支持家属绑定、设备绑定、服务商认证等审批流程。</w:t>
      </w:r>
    </w:p>
    <w:p>
      <w:pPr>
        <w:pStyle w:val="ListBullet"/>
        <w:spacing w:line="360" w:lineRule="auto"/>
      </w:pPr>
      <w:r>
        <w:rPr>
          <w:rFonts w:ascii="宋体" w:hAnsi="宋体" w:eastAsia="宋体"/>
          <w:b w:val="0"/>
          <w:sz w:val="24"/>
        </w:rPr>
        <w:t>客服沟通：通过 WebSocket 支持老人呼叫请求与客服实时消息通信。</w:t>
      </w:r>
    </w:p>
    <w:p>
      <w:pPr>
        <w:pStyle w:val="ListBullet"/>
        <w:spacing w:line="360" w:lineRule="auto"/>
      </w:pPr>
      <w:r>
        <w:rPr>
          <w:rFonts w:ascii="宋体" w:hAnsi="宋体" w:eastAsia="宋体"/>
          <w:b w:val="0"/>
          <w:sz w:val="24"/>
        </w:rPr>
        <w:t>运营展示：支持驾驶舱首页、大屏态势展示、图表分析和三维地图可视化。</w:t>
      </w:r>
    </w:p>
    <w:p>
      <w:pPr>
        <w:pStyle w:val="Heading2"/>
        <w:spacing w:before="120" w:after="60"/>
        <w:jc w:val="left"/>
      </w:pPr>
      <w:r>
        <w:rPr>
          <w:rFonts w:ascii="黑体" w:hAnsi="黑体" w:eastAsia="黑体"/>
          <w:b/>
          <w:sz w:val="28"/>
        </w:rPr>
        <w:t>2.4 非功能需求分析</w:t>
      </w:r>
    </w:p>
    <w:p>
      <w:pPr>
        <w:pStyle w:val="ListBullet"/>
        <w:spacing w:line="360" w:lineRule="auto"/>
      </w:pPr>
      <w:r>
        <w:rPr>
          <w:rFonts w:ascii="宋体" w:hAnsi="宋体" w:eastAsia="宋体"/>
          <w:b w:val="0"/>
          <w:sz w:val="24"/>
        </w:rPr>
        <w:t>安全性：登录认证、敏感字段脱敏、接口限流、安全响应头与角色权限控制。</w:t>
      </w:r>
    </w:p>
    <w:p>
      <w:pPr>
        <w:pStyle w:val="ListBullet"/>
        <w:spacing w:line="360" w:lineRule="auto"/>
      </w:pPr>
      <w:r>
        <w:rPr>
          <w:rFonts w:ascii="宋体" w:hAnsi="宋体" w:eastAsia="宋体"/>
          <w:b w:val="0"/>
          <w:sz w:val="24"/>
        </w:rPr>
        <w:t>可用性：页面结构清晰、适老化交互、关键流程可视化，便于业务人员快速上手。</w:t>
      </w:r>
    </w:p>
    <w:p>
      <w:pPr>
        <w:pStyle w:val="ListBullet"/>
        <w:spacing w:line="360" w:lineRule="auto"/>
      </w:pPr>
      <w:r>
        <w:rPr>
          <w:rFonts w:ascii="宋体" w:hAnsi="宋体" w:eastAsia="宋体"/>
          <w:b w:val="0"/>
          <w:sz w:val="24"/>
        </w:rPr>
        <w:t>可扩展性：预留 IoT、MQTT、AI、短信、语音、地图等扩展接口。</w:t>
      </w:r>
    </w:p>
    <w:p>
      <w:pPr>
        <w:pStyle w:val="ListBullet"/>
        <w:spacing w:line="360" w:lineRule="auto"/>
      </w:pPr>
      <w:r>
        <w:rPr>
          <w:rFonts w:ascii="宋体" w:hAnsi="宋体" w:eastAsia="宋体"/>
          <w:b w:val="0"/>
          <w:sz w:val="24"/>
        </w:rPr>
        <w:t>可维护性：前后端模块化划分清晰，代码结构具备较好的可阅读性和可扩展性。</w:t>
      </w:r>
    </w:p>
    <w:p>
      <w:pPr>
        <w:pStyle w:val="ListBullet"/>
        <w:spacing w:line="360" w:lineRule="auto"/>
      </w:pPr>
      <w:r>
        <w:rPr>
          <w:rFonts w:ascii="宋体" w:hAnsi="宋体" w:eastAsia="宋体"/>
          <w:b w:val="0"/>
          <w:sz w:val="24"/>
        </w:rPr>
        <w:t>部署性：支持传统部署与 Docker 部署，适合比赛演示与后续落地扩展。</w:t>
      </w:r>
    </w:p>
    <w:p>
      <w:pPr>
        <w:pStyle w:val="Heading1"/>
        <w:spacing w:before="240" w:after="120"/>
        <w:jc w:val="left"/>
      </w:pPr>
      <w:r>
        <w:rPr>
          <w:rFonts w:ascii="黑体" w:hAnsi="黑体" w:eastAsia="黑体"/>
          <w:b/>
          <w:sz w:val="32"/>
        </w:rPr>
        <w:t>三、系统总体设计</w:t>
      </w:r>
    </w:p>
    <w:p>
      <w:pPr>
        <w:pStyle w:val="Heading2"/>
        <w:spacing w:before="120" w:after="60"/>
        <w:jc w:val="left"/>
      </w:pPr>
      <w:r>
        <w:rPr>
          <w:rFonts w:ascii="黑体" w:hAnsi="黑体" w:eastAsia="黑体"/>
          <w:b/>
          <w:sz w:val="28"/>
        </w:rPr>
        <w:t>3.1 总体架构设计</w:t>
      </w:r>
    </w:p>
    <w:p>
      <w:pPr>
        <w:spacing w:line="360" w:lineRule="auto" w:after="0"/>
        <w:ind w:firstLine="839"/>
        <w:jc w:val="both"/>
      </w:pPr>
      <w:r>
        <w:rPr>
          <w:rFonts w:ascii="宋体" w:hAnsi="宋体" w:eastAsia="宋体"/>
          <w:b w:val="0"/>
          <w:sz w:val="24"/>
        </w:rPr>
        <w:t>系统采用前后端分离架构。前端负责多角色页面渲染、状态管理、图表展示和交互流程，后端负责认证授权、业务处理、数据库读写、实时消息推送以及 IoT 设备扩展能力接入。平台以 HTTP/REST 作为主要业务通信方式，以 WebSocket 承担客服消息与实时推送，以 MySQL 作为核心业务数据库，并通过可选 IoT 模块承接智能手环与 MQTT 数据流。</w:t>
      </w:r>
    </w:p>
    <w:p>
      <w:pPr>
        <w:jc w:val="center"/>
      </w:pPr>
      <w:r/>
    </w:p>
    <w:p>
      <w:pPr>
        <w:jc w:val="center"/>
      </w:pPr>
      <w:r>
        <w:rPr>
          <w:rFonts w:ascii="宋体" w:hAnsi="宋体" w:eastAsia="宋体"/>
          <w:b w:val="0"/>
          <w:sz w:val="21"/>
        </w:rPr>
        <w:t>图 3-1 系统总体架构示意图（图示资源已在项目目录中保留，可在最终排版时替换）</w:t>
      </w:r>
    </w:p>
    <w:p>
      <w:pPr>
        <w:pStyle w:val="Heading2"/>
        <w:spacing w:before="120" w:after="60"/>
        <w:jc w:val="left"/>
      </w:pPr>
      <w:r>
        <w:rPr>
          <w:rFonts w:ascii="黑体" w:hAnsi="黑体" w:eastAsia="黑体"/>
          <w:b/>
          <w:sz w:val="28"/>
        </w:rPr>
        <w:t>3.2 技术架构与选型</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jc w:val="center"/>
            </w:pPr>
            <w:r/>
            <w:r>
              <w:rPr>
                <w:rFonts w:ascii="宋体" w:hAnsi="宋体" w:eastAsia="宋体"/>
                <w:b/>
                <w:sz w:val="21"/>
              </w:rPr>
              <w:t>层次</w:t>
            </w:r>
          </w:p>
        </w:tc>
        <w:tc>
          <w:tcPr>
            <w:tcW w:type="dxa" w:w="3041"/>
            <w:vAlign w:val="center"/>
          </w:tcPr>
          <w:p>
            <w:pPr>
              <w:jc w:val="center"/>
            </w:pPr>
            <w:r/>
            <w:r>
              <w:rPr>
                <w:rFonts w:ascii="宋体" w:hAnsi="宋体" w:eastAsia="宋体"/>
                <w:b/>
                <w:sz w:val="21"/>
              </w:rPr>
              <w:t>技术选型</w:t>
            </w:r>
          </w:p>
        </w:tc>
        <w:tc>
          <w:tcPr>
            <w:tcW w:type="dxa" w:w="3041"/>
            <w:vAlign w:val="center"/>
          </w:tcPr>
          <w:p>
            <w:pPr>
              <w:jc w:val="center"/>
            </w:pPr>
            <w:r/>
            <w:r>
              <w:rPr>
                <w:rFonts w:ascii="宋体" w:hAnsi="宋体" w:eastAsia="宋体"/>
                <w:b/>
                <w:sz w:val="21"/>
              </w:rPr>
              <w:t>选型原因</w:t>
            </w:r>
          </w:p>
        </w:tc>
      </w:tr>
      <w:tr>
        <w:tc>
          <w:tcPr>
            <w:tcW w:type="dxa" w:w="3041"/>
            <w:vAlign w:val="center"/>
          </w:tcPr>
          <w:p>
            <w:pPr>
              <w:jc w:val="center"/>
            </w:pPr>
            <w:r/>
            <w:r>
              <w:rPr>
                <w:rFonts w:ascii="宋体" w:hAnsi="宋体" w:eastAsia="宋体"/>
                <w:b w:val="0"/>
                <w:sz w:val="21"/>
              </w:rPr>
              <w:t>前端</w:t>
            </w:r>
          </w:p>
        </w:tc>
        <w:tc>
          <w:tcPr>
            <w:tcW w:type="dxa" w:w="3041"/>
            <w:vAlign w:val="center"/>
          </w:tcPr>
          <w:p>
            <w:pPr>
              <w:jc w:val="center"/>
            </w:pPr>
            <w:r/>
            <w:r>
              <w:rPr>
                <w:rFonts w:ascii="宋体" w:hAnsi="宋体" w:eastAsia="宋体"/>
                <w:b w:val="0"/>
                <w:sz w:val="21"/>
              </w:rPr>
              <w:t>Vue 3 + Vite + Pinia + Vue Router</w:t>
            </w:r>
          </w:p>
        </w:tc>
        <w:tc>
          <w:tcPr>
            <w:tcW w:type="dxa" w:w="3041"/>
            <w:vAlign w:val="center"/>
          </w:tcPr>
          <w:p>
            <w:pPr>
              <w:jc w:val="center"/>
            </w:pPr>
            <w:r/>
            <w:r>
              <w:rPr>
                <w:rFonts w:ascii="宋体" w:hAnsi="宋体" w:eastAsia="宋体"/>
                <w:b w:val="0"/>
                <w:sz w:val="21"/>
              </w:rPr>
              <w:t>组件化开发效率高，适合多角色后台系统构建</w:t>
            </w:r>
          </w:p>
        </w:tc>
      </w:tr>
      <w:tr>
        <w:tc>
          <w:tcPr>
            <w:tcW w:type="dxa" w:w="3041"/>
            <w:vAlign w:val="center"/>
          </w:tcPr>
          <w:p>
            <w:pPr>
              <w:jc w:val="center"/>
            </w:pPr>
            <w:r/>
            <w:r>
              <w:rPr>
                <w:rFonts w:ascii="宋体" w:hAnsi="宋体" w:eastAsia="宋体"/>
                <w:b w:val="0"/>
                <w:sz w:val="21"/>
              </w:rPr>
              <w:t>UI 与可视化</w:t>
            </w:r>
          </w:p>
        </w:tc>
        <w:tc>
          <w:tcPr>
            <w:tcW w:type="dxa" w:w="3041"/>
            <w:vAlign w:val="center"/>
          </w:tcPr>
          <w:p>
            <w:pPr>
              <w:jc w:val="center"/>
            </w:pPr>
            <w:r/>
            <w:r>
              <w:rPr>
                <w:rFonts w:ascii="宋体" w:hAnsi="宋体" w:eastAsia="宋体"/>
                <w:b w:val="0"/>
                <w:sz w:val="21"/>
              </w:rPr>
              <w:t>Element Plus + ECharts + Three.js</w:t>
            </w:r>
          </w:p>
        </w:tc>
        <w:tc>
          <w:tcPr>
            <w:tcW w:type="dxa" w:w="3041"/>
            <w:vAlign w:val="center"/>
          </w:tcPr>
          <w:p>
            <w:pPr>
              <w:jc w:val="center"/>
            </w:pPr>
            <w:r/>
            <w:r>
              <w:rPr>
                <w:rFonts w:ascii="宋体" w:hAnsi="宋体" w:eastAsia="宋体"/>
                <w:b w:val="0"/>
                <w:sz w:val="21"/>
              </w:rPr>
              <w:t>兼顾表单后台、大屏可视化与三维展示</w:t>
            </w:r>
          </w:p>
        </w:tc>
      </w:tr>
      <w:tr>
        <w:tc>
          <w:tcPr>
            <w:tcW w:type="dxa" w:w="3041"/>
            <w:vAlign w:val="center"/>
          </w:tcPr>
          <w:p>
            <w:pPr>
              <w:jc w:val="center"/>
            </w:pPr>
            <w:r/>
            <w:r>
              <w:rPr>
                <w:rFonts w:ascii="宋体" w:hAnsi="宋体" w:eastAsia="宋体"/>
                <w:b w:val="0"/>
                <w:sz w:val="21"/>
              </w:rPr>
              <w:t>后端</w:t>
            </w:r>
          </w:p>
        </w:tc>
        <w:tc>
          <w:tcPr>
            <w:tcW w:type="dxa" w:w="3041"/>
            <w:vAlign w:val="center"/>
          </w:tcPr>
          <w:p>
            <w:pPr>
              <w:jc w:val="center"/>
            </w:pPr>
            <w:r/>
            <w:r>
              <w:rPr>
                <w:rFonts w:ascii="宋体" w:hAnsi="宋体" w:eastAsia="宋体"/>
                <w:b w:val="0"/>
                <w:sz w:val="21"/>
              </w:rPr>
              <w:t>Node.js + Express</w:t>
            </w:r>
          </w:p>
        </w:tc>
        <w:tc>
          <w:tcPr>
            <w:tcW w:type="dxa" w:w="3041"/>
            <w:vAlign w:val="center"/>
          </w:tcPr>
          <w:p>
            <w:pPr>
              <w:jc w:val="center"/>
            </w:pPr>
            <w:r/>
            <w:r>
              <w:rPr>
                <w:rFonts w:ascii="宋体" w:hAnsi="宋体" w:eastAsia="宋体"/>
                <w:b w:val="0"/>
                <w:sz w:val="21"/>
              </w:rPr>
              <w:t>开发效率高，适合中小规模业务系统与实时通信扩展</w:t>
            </w:r>
          </w:p>
        </w:tc>
      </w:tr>
      <w:tr>
        <w:tc>
          <w:tcPr>
            <w:tcW w:type="dxa" w:w="3041"/>
            <w:vAlign w:val="center"/>
          </w:tcPr>
          <w:p>
            <w:pPr>
              <w:jc w:val="center"/>
            </w:pPr>
            <w:r/>
            <w:r>
              <w:rPr>
                <w:rFonts w:ascii="宋体" w:hAnsi="宋体" w:eastAsia="宋体"/>
                <w:b w:val="0"/>
                <w:sz w:val="21"/>
              </w:rPr>
              <w:t>数据库</w:t>
            </w:r>
          </w:p>
        </w:tc>
        <w:tc>
          <w:tcPr>
            <w:tcW w:type="dxa" w:w="3041"/>
            <w:vAlign w:val="center"/>
          </w:tcPr>
          <w:p>
            <w:pPr>
              <w:jc w:val="center"/>
            </w:pPr>
            <w:r/>
            <w:r>
              <w:rPr>
                <w:rFonts w:ascii="宋体" w:hAnsi="宋体" w:eastAsia="宋体"/>
                <w:b w:val="0"/>
                <w:sz w:val="21"/>
              </w:rPr>
              <w:t>MySQL</w:t>
            </w:r>
          </w:p>
        </w:tc>
        <w:tc>
          <w:tcPr>
            <w:tcW w:type="dxa" w:w="3041"/>
            <w:vAlign w:val="center"/>
          </w:tcPr>
          <w:p>
            <w:pPr>
              <w:jc w:val="center"/>
            </w:pPr>
            <w:r/>
            <w:r>
              <w:rPr>
                <w:rFonts w:ascii="宋体" w:hAnsi="宋体" w:eastAsia="宋体"/>
                <w:b w:val="0"/>
                <w:sz w:val="21"/>
              </w:rPr>
              <w:t>结构化数据管理成熟，适合当前多表业务关系存储</w:t>
            </w:r>
          </w:p>
        </w:tc>
      </w:tr>
      <w:tr>
        <w:tc>
          <w:tcPr>
            <w:tcW w:type="dxa" w:w="3041"/>
            <w:vAlign w:val="center"/>
          </w:tcPr>
          <w:p>
            <w:pPr>
              <w:jc w:val="center"/>
            </w:pPr>
            <w:r/>
            <w:r>
              <w:rPr>
                <w:rFonts w:ascii="宋体" w:hAnsi="宋体" w:eastAsia="宋体"/>
                <w:b w:val="0"/>
                <w:sz w:val="21"/>
              </w:rPr>
              <w:t>实时通信</w:t>
            </w:r>
          </w:p>
        </w:tc>
        <w:tc>
          <w:tcPr>
            <w:tcW w:type="dxa" w:w="3041"/>
            <w:vAlign w:val="center"/>
          </w:tcPr>
          <w:p>
            <w:pPr>
              <w:jc w:val="center"/>
            </w:pPr>
            <w:r/>
            <w:r>
              <w:rPr>
                <w:rFonts w:ascii="宋体" w:hAnsi="宋体" w:eastAsia="宋体"/>
                <w:b w:val="0"/>
                <w:sz w:val="21"/>
              </w:rPr>
              <w:t>WebSocket</w:t>
            </w:r>
          </w:p>
        </w:tc>
        <w:tc>
          <w:tcPr>
            <w:tcW w:type="dxa" w:w="3041"/>
            <w:vAlign w:val="center"/>
          </w:tcPr>
          <w:p>
            <w:pPr>
              <w:jc w:val="center"/>
            </w:pPr>
            <w:r/>
            <w:r>
              <w:rPr>
                <w:rFonts w:ascii="宋体" w:hAnsi="宋体" w:eastAsia="宋体"/>
                <w:b w:val="0"/>
                <w:sz w:val="21"/>
              </w:rPr>
              <w:t>满足客服消息、状态通知和实时互动需求</w:t>
            </w:r>
          </w:p>
        </w:tc>
      </w:tr>
      <w:tr>
        <w:tc>
          <w:tcPr>
            <w:tcW w:type="dxa" w:w="3041"/>
            <w:vAlign w:val="center"/>
          </w:tcPr>
          <w:p>
            <w:pPr>
              <w:jc w:val="center"/>
            </w:pPr>
            <w:r/>
            <w:r>
              <w:rPr>
                <w:rFonts w:ascii="宋体" w:hAnsi="宋体" w:eastAsia="宋体"/>
                <w:b w:val="0"/>
                <w:sz w:val="21"/>
              </w:rPr>
              <w:t>IoT 扩展</w:t>
            </w:r>
          </w:p>
        </w:tc>
        <w:tc>
          <w:tcPr>
            <w:tcW w:type="dxa" w:w="3041"/>
            <w:vAlign w:val="center"/>
          </w:tcPr>
          <w:p>
            <w:pPr>
              <w:jc w:val="center"/>
            </w:pPr>
            <w:r/>
            <w:r>
              <w:rPr>
                <w:rFonts w:ascii="宋体" w:hAnsi="宋体" w:eastAsia="宋体"/>
                <w:b w:val="0"/>
                <w:sz w:val="21"/>
              </w:rPr>
              <w:t>MQTT + 设备引擎</w:t>
            </w:r>
          </w:p>
        </w:tc>
        <w:tc>
          <w:tcPr>
            <w:tcW w:type="dxa" w:w="3041"/>
            <w:vAlign w:val="center"/>
          </w:tcPr>
          <w:p>
            <w:pPr>
              <w:jc w:val="center"/>
            </w:pPr>
            <w:r/>
            <w:r>
              <w:rPr>
                <w:rFonts w:ascii="宋体" w:hAnsi="宋体" w:eastAsia="宋体"/>
                <w:b w:val="0"/>
                <w:sz w:val="21"/>
              </w:rPr>
              <w:t>便于接入智能手环与实时设备数据</w:t>
            </w:r>
          </w:p>
        </w:tc>
      </w:tr>
    </w:tbl>
    <w:p/>
    <w:p>
      <w:pPr>
        <w:pStyle w:val="Heading2"/>
        <w:spacing w:before="120" w:after="60"/>
        <w:jc w:val="left"/>
      </w:pPr>
      <w:r>
        <w:rPr>
          <w:rFonts w:ascii="黑体" w:hAnsi="黑体" w:eastAsia="黑体"/>
          <w:b/>
          <w:sz w:val="28"/>
        </w:rPr>
        <w:t>3.3 功能模块设计</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jc w:val="center"/>
            </w:pPr>
            <w:r/>
            <w:r>
              <w:rPr>
                <w:rFonts w:ascii="宋体" w:hAnsi="宋体" w:eastAsia="宋体"/>
                <w:b/>
                <w:sz w:val="21"/>
              </w:rPr>
              <w:t>模块</w:t>
            </w:r>
          </w:p>
        </w:tc>
        <w:tc>
          <w:tcPr>
            <w:tcW w:type="dxa" w:w="3041"/>
            <w:vAlign w:val="center"/>
          </w:tcPr>
          <w:p>
            <w:pPr>
              <w:jc w:val="center"/>
            </w:pPr>
            <w:r/>
            <w:r>
              <w:rPr>
                <w:rFonts w:ascii="宋体" w:hAnsi="宋体" w:eastAsia="宋体"/>
                <w:b/>
                <w:sz w:val="21"/>
              </w:rPr>
              <w:t>子模块</w:t>
            </w:r>
          </w:p>
        </w:tc>
        <w:tc>
          <w:tcPr>
            <w:tcW w:type="dxa" w:w="3041"/>
            <w:vAlign w:val="center"/>
          </w:tcPr>
          <w:p>
            <w:pPr>
              <w:jc w:val="center"/>
            </w:pPr>
            <w:r/>
            <w:r>
              <w:rPr>
                <w:rFonts w:ascii="宋体" w:hAnsi="宋体" w:eastAsia="宋体"/>
                <w:b/>
                <w:sz w:val="21"/>
              </w:rPr>
              <w:t>功能说明</w:t>
            </w:r>
          </w:p>
        </w:tc>
      </w:tr>
      <w:tr>
        <w:tc>
          <w:tcPr>
            <w:tcW w:type="dxa" w:w="3041"/>
            <w:vAlign w:val="center"/>
          </w:tcPr>
          <w:p>
            <w:pPr>
              <w:jc w:val="center"/>
            </w:pPr>
            <w:r/>
            <w:r>
              <w:rPr>
                <w:rFonts w:ascii="宋体" w:hAnsi="宋体" w:eastAsia="宋体"/>
                <w:b w:val="0"/>
                <w:sz w:val="21"/>
              </w:rPr>
              <w:t>用户中心</w:t>
            </w:r>
          </w:p>
        </w:tc>
        <w:tc>
          <w:tcPr>
            <w:tcW w:type="dxa" w:w="3041"/>
            <w:vAlign w:val="center"/>
          </w:tcPr>
          <w:p>
            <w:pPr>
              <w:jc w:val="center"/>
            </w:pPr>
            <w:r/>
            <w:r>
              <w:rPr>
                <w:rFonts w:ascii="宋体" w:hAnsi="宋体" w:eastAsia="宋体"/>
                <w:b w:val="0"/>
                <w:sz w:val="21"/>
              </w:rPr>
              <w:t>登录、鉴权、权限控制</w:t>
            </w:r>
          </w:p>
        </w:tc>
        <w:tc>
          <w:tcPr>
            <w:tcW w:type="dxa" w:w="3041"/>
            <w:vAlign w:val="center"/>
          </w:tcPr>
          <w:p>
            <w:pPr>
              <w:jc w:val="center"/>
            </w:pPr>
            <w:r/>
            <w:r>
              <w:rPr>
                <w:rFonts w:ascii="宋体" w:hAnsi="宋体" w:eastAsia="宋体"/>
                <w:b w:val="0"/>
                <w:sz w:val="21"/>
              </w:rPr>
              <w:t>支持多角色登录和访问边界控制</w:t>
            </w:r>
          </w:p>
        </w:tc>
      </w:tr>
      <w:tr>
        <w:tc>
          <w:tcPr>
            <w:tcW w:type="dxa" w:w="3041"/>
            <w:vAlign w:val="center"/>
          </w:tcPr>
          <w:p>
            <w:pPr>
              <w:jc w:val="center"/>
            </w:pPr>
            <w:r/>
            <w:r>
              <w:rPr>
                <w:rFonts w:ascii="宋体" w:hAnsi="宋体" w:eastAsia="宋体"/>
                <w:b w:val="0"/>
                <w:sz w:val="21"/>
              </w:rPr>
              <w:t>老人档案</w:t>
            </w:r>
          </w:p>
        </w:tc>
        <w:tc>
          <w:tcPr>
            <w:tcW w:type="dxa" w:w="3041"/>
            <w:vAlign w:val="center"/>
          </w:tcPr>
          <w:p>
            <w:pPr>
              <w:jc w:val="center"/>
            </w:pPr>
            <w:r/>
            <w:r>
              <w:rPr>
                <w:rFonts w:ascii="宋体" w:hAnsi="宋体" w:eastAsia="宋体"/>
                <w:b w:val="0"/>
                <w:sz w:val="21"/>
              </w:rPr>
              <w:t>基础信息、家属绑定、健康信息</w:t>
            </w:r>
          </w:p>
        </w:tc>
        <w:tc>
          <w:tcPr>
            <w:tcW w:type="dxa" w:w="3041"/>
            <w:vAlign w:val="center"/>
          </w:tcPr>
          <w:p>
            <w:pPr>
              <w:jc w:val="center"/>
            </w:pPr>
            <w:r/>
            <w:r>
              <w:rPr>
                <w:rFonts w:ascii="宋体" w:hAnsi="宋体" w:eastAsia="宋体"/>
                <w:b w:val="0"/>
                <w:sz w:val="21"/>
              </w:rPr>
              <w:t>集中管理服务对象与关系链</w:t>
            </w:r>
          </w:p>
        </w:tc>
      </w:tr>
      <w:tr>
        <w:tc>
          <w:tcPr>
            <w:tcW w:type="dxa" w:w="3041"/>
            <w:vAlign w:val="center"/>
          </w:tcPr>
          <w:p>
            <w:pPr>
              <w:jc w:val="center"/>
            </w:pPr>
            <w:r/>
            <w:r>
              <w:rPr>
                <w:rFonts w:ascii="宋体" w:hAnsi="宋体" w:eastAsia="宋体"/>
                <w:b w:val="0"/>
                <w:sz w:val="21"/>
              </w:rPr>
              <w:t>预警中心</w:t>
            </w:r>
          </w:p>
        </w:tc>
        <w:tc>
          <w:tcPr>
            <w:tcW w:type="dxa" w:w="3041"/>
            <w:vAlign w:val="center"/>
          </w:tcPr>
          <w:p>
            <w:pPr>
              <w:jc w:val="center"/>
            </w:pPr>
            <w:r/>
            <w:r>
              <w:rPr>
                <w:rFonts w:ascii="宋体" w:hAnsi="宋体" w:eastAsia="宋体"/>
                <w:b w:val="0"/>
                <w:sz w:val="21"/>
              </w:rPr>
              <w:t>预警查询、接单、处置、确认、升级</w:t>
            </w:r>
          </w:p>
        </w:tc>
        <w:tc>
          <w:tcPr>
            <w:tcW w:type="dxa" w:w="3041"/>
            <w:vAlign w:val="center"/>
          </w:tcPr>
          <w:p>
            <w:pPr>
              <w:jc w:val="center"/>
            </w:pPr>
            <w:r/>
            <w:r>
              <w:rPr>
                <w:rFonts w:ascii="宋体" w:hAnsi="宋体" w:eastAsia="宋体"/>
                <w:b w:val="0"/>
                <w:sz w:val="21"/>
              </w:rPr>
              <w:t>形成完整闭环响应流程</w:t>
            </w:r>
          </w:p>
        </w:tc>
      </w:tr>
      <w:tr>
        <w:tc>
          <w:tcPr>
            <w:tcW w:type="dxa" w:w="3041"/>
            <w:vAlign w:val="center"/>
          </w:tcPr>
          <w:p>
            <w:pPr>
              <w:jc w:val="center"/>
            </w:pPr>
            <w:r/>
            <w:r>
              <w:rPr>
                <w:rFonts w:ascii="宋体" w:hAnsi="宋体" w:eastAsia="宋体"/>
                <w:b w:val="0"/>
                <w:sz w:val="21"/>
              </w:rPr>
              <w:t>工单中心</w:t>
            </w:r>
          </w:p>
        </w:tc>
        <w:tc>
          <w:tcPr>
            <w:tcW w:type="dxa" w:w="3041"/>
            <w:vAlign w:val="center"/>
          </w:tcPr>
          <w:p>
            <w:pPr>
              <w:jc w:val="center"/>
            </w:pPr>
            <w:r/>
            <w:r>
              <w:rPr>
                <w:rFonts w:ascii="宋体" w:hAnsi="宋体" w:eastAsia="宋体"/>
                <w:b w:val="0"/>
                <w:sz w:val="21"/>
              </w:rPr>
              <w:t>创建、派发、接单、执行、评价</w:t>
            </w:r>
          </w:p>
        </w:tc>
        <w:tc>
          <w:tcPr>
            <w:tcW w:type="dxa" w:w="3041"/>
            <w:vAlign w:val="center"/>
          </w:tcPr>
          <w:p>
            <w:pPr>
              <w:jc w:val="center"/>
            </w:pPr>
            <w:r/>
            <w:r>
              <w:rPr>
                <w:rFonts w:ascii="宋体" w:hAnsi="宋体" w:eastAsia="宋体"/>
                <w:b w:val="0"/>
                <w:sz w:val="21"/>
              </w:rPr>
              <w:t>支撑养老服务资源调度</w:t>
            </w:r>
          </w:p>
        </w:tc>
      </w:tr>
      <w:tr>
        <w:tc>
          <w:tcPr>
            <w:tcW w:type="dxa" w:w="3041"/>
            <w:vAlign w:val="center"/>
          </w:tcPr>
          <w:p>
            <w:pPr>
              <w:jc w:val="center"/>
            </w:pPr>
            <w:r/>
            <w:r>
              <w:rPr>
                <w:rFonts w:ascii="宋体" w:hAnsi="宋体" w:eastAsia="宋体"/>
                <w:b w:val="0"/>
                <w:sz w:val="21"/>
              </w:rPr>
              <w:t>审批中心</w:t>
            </w:r>
          </w:p>
        </w:tc>
        <w:tc>
          <w:tcPr>
            <w:tcW w:type="dxa" w:w="3041"/>
            <w:vAlign w:val="center"/>
          </w:tcPr>
          <w:p>
            <w:pPr>
              <w:jc w:val="center"/>
            </w:pPr>
            <w:r/>
            <w:r>
              <w:rPr>
                <w:rFonts w:ascii="宋体" w:hAnsi="宋体" w:eastAsia="宋体"/>
                <w:b w:val="0"/>
                <w:sz w:val="21"/>
              </w:rPr>
              <w:t>家属绑定、设备绑定、服务商认证</w:t>
            </w:r>
          </w:p>
        </w:tc>
        <w:tc>
          <w:tcPr>
            <w:tcW w:type="dxa" w:w="3041"/>
            <w:vAlign w:val="center"/>
          </w:tcPr>
          <w:p>
            <w:pPr>
              <w:jc w:val="center"/>
            </w:pPr>
            <w:r/>
            <w:r>
              <w:rPr>
                <w:rFonts w:ascii="宋体" w:hAnsi="宋体" w:eastAsia="宋体"/>
                <w:b w:val="0"/>
                <w:sz w:val="21"/>
              </w:rPr>
              <w:t>支撑业务流程规范化管理</w:t>
            </w:r>
          </w:p>
        </w:tc>
      </w:tr>
      <w:tr>
        <w:tc>
          <w:tcPr>
            <w:tcW w:type="dxa" w:w="3041"/>
            <w:vAlign w:val="center"/>
          </w:tcPr>
          <w:p>
            <w:pPr>
              <w:jc w:val="center"/>
            </w:pPr>
            <w:r/>
            <w:r>
              <w:rPr>
                <w:rFonts w:ascii="宋体" w:hAnsi="宋体" w:eastAsia="宋体"/>
                <w:b w:val="0"/>
                <w:sz w:val="21"/>
              </w:rPr>
              <w:t>设备监控</w:t>
            </w:r>
          </w:p>
        </w:tc>
        <w:tc>
          <w:tcPr>
            <w:tcW w:type="dxa" w:w="3041"/>
            <w:vAlign w:val="center"/>
          </w:tcPr>
          <w:p>
            <w:pPr>
              <w:jc w:val="center"/>
            </w:pPr>
            <w:r/>
            <w:r>
              <w:rPr>
                <w:rFonts w:ascii="宋体" w:hAnsi="宋体" w:eastAsia="宋体"/>
                <w:b w:val="0"/>
                <w:sz w:val="21"/>
              </w:rPr>
              <w:t>设备状态、接入数据、监控大屏</w:t>
            </w:r>
          </w:p>
        </w:tc>
        <w:tc>
          <w:tcPr>
            <w:tcW w:type="dxa" w:w="3041"/>
            <w:vAlign w:val="center"/>
          </w:tcPr>
          <w:p>
            <w:pPr>
              <w:jc w:val="center"/>
            </w:pPr>
            <w:r/>
            <w:r>
              <w:rPr>
                <w:rFonts w:ascii="宋体" w:hAnsi="宋体" w:eastAsia="宋体"/>
                <w:b w:val="0"/>
                <w:sz w:val="21"/>
              </w:rPr>
              <w:t>为 IoT 扩展预留统一入口</w:t>
            </w:r>
          </w:p>
        </w:tc>
      </w:tr>
      <w:tr>
        <w:tc>
          <w:tcPr>
            <w:tcW w:type="dxa" w:w="3041"/>
            <w:vAlign w:val="center"/>
          </w:tcPr>
          <w:p>
            <w:pPr>
              <w:jc w:val="center"/>
            </w:pPr>
            <w:r/>
            <w:r>
              <w:rPr>
                <w:rFonts w:ascii="宋体" w:hAnsi="宋体" w:eastAsia="宋体"/>
                <w:b w:val="0"/>
                <w:sz w:val="21"/>
              </w:rPr>
              <w:t>运营驾驶舱</w:t>
            </w:r>
          </w:p>
        </w:tc>
        <w:tc>
          <w:tcPr>
            <w:tcW w:type="dxa" w:w="3041"/>
            <w:vAlign w:val="center"/>
          </w:tcPr>
          <w:p>
            <w:pPr>
              <w:jc w:val="center"/>
            </w:pPr>
            <w:r/>
            <w:r>
              <w:rPr>
                <w:rFonts w:ascii="宋体" w:hAnsi="宋体" w:eastAsia="宋体"/>
                <w:b w:val="0"/>
                <w:sz w:val="21"/>
              </w:rPr>
              <w:t>核心指标、趋势图、大屏与地图</w:t>
            </w:r>
          </w:p>
        </w:tc>
        <w:tc>
          <w:tcPr>
            <w:tcW w:type="dxa" w:w="3041"/>
            <w:vAlign w:val="center"/>
          </w:tcPr>
          <w:p>
            <w:pPr>
              <w:jc w:val="center"/>
            </w:pPr>
            <w:r/>
            <w:r>
              <w:rPr>
                <w:rFonts w:ascii="宋体" w:hAnsi="宋体" w:eastAsia="宋体"/>
                <w:b w:val="0"/>
                <w:sz w:val="21"/>
              </w:rPr>
              <w:t>支撑管理层全局决策与态势感知</w:t>
            </w:r>
          </w:p>
        </w:tc>
      </w:tr>
    </w:tbl>
    <w:p/>
    <w:p>
      <w:pPr>
        <w:pStyle w:val="Heading2"/>
        <w:spacing w:before="120" w:after="60"/>
        <w:jc w:val="left"/>
      </w:pPr>
      <w:r>
        <w:rPr>
          <w:rFonts w:ascii="黑体" w:hAnsi="黑体" w:eastAsia="黑体"/>
          <w:b/>
          <w:sz w:val="28"/>
        </w:rPr>
        <w:t>3.4 数据库设计</w:t>
      </w:r>
    </w:p>
    <w:p>
      <w:pPr>
        <w:spacing w:line="360" w:lineRule="auto" w:after="0"/>
        <w:ind w:firstLine="839"/>
        <w:jc w:val="both"/>
      </w:pPr>
      <w:r>
        <w:rPr>
          <w:rFonts w:ascii="宋体" w:hAnsi="宋体" w:eastAsia="宋体"/>
          <w:b w:val="0"/>
          <w:sz w:val="24"/>
        </w:rPr>
        <w:t>数据库围绕用户、老人、健康记录、预警记录、工单记录、设备信息、村庄信息和服务商信息等核心实体展开设计。系统通过用户表和角色字段构建权限体系，通过老人表与村庄、设备、健康、家属等表形成业务关联，通过预警流转与工单流转实现事件追踪。</w:t>
      </w:r>
    </w:p>
    <w:p>
      <w:pPr>
        <w:jc w:val="center"/>
      </w:pPr>
      <w:r/>
    </w:p>
    <w:p>
      <w:pPr>
        <w:jc w:val="center"/>
      </w:pPr>
      <w:r>
        <w:rPr>
          <w:rFonts w:ascii="宋体" w:hAnsi="宋体" w:eastAsia="宋体"/>
          <w:b w:val="0"/>
          <w:sz w:val="21"/>
        </w:rPr>
        <w:t>图 3-2 主要数据实体关系图（图示资源已在项目目录中保留，可在最终排版时替换）</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Pr>
          <w:p>
            <w:pPr>
              <w:jc w:val="center"/>
            </w:pPr>
            <w:r/>
            <w:r>
              <w:rPr>
                <w:rFonts w:ascii="宋体" w:hAnsi="宋体" w:eastAsia="宋体"/>
                <w:b/>
                <w:sz w:val="21"/>
              </w:rPr>
              <w:t>核心数据表</w:t>
            </w:r>
          </w:p>
        </w:tc>
        <w:tc>
          <w:tcPr>
            <w:tcW w:type="dxa" w:w="4561"/>
            <w:vAlign w:val="center"/>
          </w:tcPr>
          <w:p>
            <w:pPr>
              <w:jc w:val="center"/>
            </w:pPr>
            <w:r/>
            <w:r>
              <w:rPr>
                <w:rFonts w:ascii="宋体" w:hAnsi="宋体" w:eastAsia="宋体"/>
                <w:b/>
                <w:sz w:val="21"/>
              </w:rPr>
              <w:t>主要作用</w:t>
            </w:r>
          </w:p>
        </w:tc>
      </w:tr>
      <w:tr>
        <w:tc>
          <w:tcPr>
            <w:tcW w:type="dxa" w:w="4561"/>
            <w:vAlign w:val="center"/>
          </w:tcPr>
          <w:p>
            <w:pPr>
              <w:jc w:val="center"/>
            </w:pPr>
            <w:r/>
            <w:r>
              <w:rPr>
                <w:rFonts w:ascii="宋体" w:hAnsi="宋体" w:eastAsia="宋体"/>
                <w:b w:val="0"/>
                <w:sz w:val="21"/>
              </w:rPr>
              <w:t>sys_user</w:t>
            </w:r>
          </w:p>
        </w:tc>
        <w:tc>
          <w:tcPr>
            <w:tcW w:type="dxa" w:w="4561"/>
            <w:vAlign w:val="center"/>
          </w:tcPr>
          <w:p>
            <w:pPr>
              <w:jc w:val="center"/>
            </w:pPr>
            <w:r/>
            <w:r>
              <w:rPr>
                <w:rFonts w:ascii="宋体" w:hAnsi="宋体" w:eastAsia="宋体"/>
                <w:b w:val="0"/>
                <w:sz w:val="21"/>
              </w:rPr>
              <w:t>保存平台用户账号、角色与权限关联信息</w:t>
            </w:r>
          </w:p>
        </w:tc>
      </w:tr>
      <w:tr>
        <w:tc>
          <w:tcPr>
            <w:tcW w:type="dxa" w:w="4561"/>
            <w:vAlign w:val="center"/>
          </w:tcPr>
          <w:p>
            <w:pPr>
              <w:jc w:val="center"/>
            </w:pPr>
            <w:r/>
            <w:r>
              <w:rPr>
                <w:rFonts w:ascii="宋体" w:hAnsi="宋体" w:eastAsia="宋体"/>
                <w:b w:val="0"/>
                <w:sz w:val="21"/>
              </w:rPr>
              <w:t>elderly_info</w:t>
            </w:r>
          </w:p>
        </w:tc>
        <w:tc>
          <w:tcPr>
            <w:tcW w:type="dxa" w:w="4561"/>
            <w:vAlign w:val="center"/>
          </w:tcPr>
          <w:p>
            <w:pPr>
              <w:jc w:val="center"/>
            </w:pPr>
            <w:r/>
            <w:r>
              <w:rPr>
                <w:rFonts w:ascii="宋体" w:hAnsi="宋体" w:eastAsia="宋体"/>
                <w:b w:val="0"/>
                <w:sz w:val="21"/>
              </w:rPr>
              <w:t>保存老人基础信息与归属关系</w:t>
            </w:r>
          </w:p>
        </w:tc>
      </w:tr>
      <w:tr>
        <w:tc>
          <w:tcPr>
            <w:tcW w:type="dxa" w:w="4561"/>
            <w:vAlign w:val="center"/>
          </w:tcPr>
          <w:p>
            <w:pPr>
              <w:jc w:val="center"/>
            </w:pPr>
            <w:r/>
            <w:r>
              <w:rPr>
                <w:rFonts w:ascii="宋体" w:hAnsi="宋体" w:eastAsia="宋体"/>
                <w:b w:val="0"/>
                <w:sz w:val="21"/>
              </w:rPr>
              <w:t>health_record</w:t>
            </w:r>
          </w:p>
        </w:tc>
        <w:tc>
          <w:tcPr>
            <w:tcW w:type="dxa" w:w="4561"/>
            <w:vAlign w:val="center"/>
          </w:tcPr>
          <w:p>
            <w:pPr>
              <w:jc w:val="center"/>
            </w:pPr>
            <w:r/>
            <w:r>
              <w:rPr>
                <w:rFonts w:ascii="宋体" w:hAnsi="宋体" w:eastAsia="宋体"/>
                <w:b w:val="0"/>
                <w:sz w:val="21"/>
              </w:rPr>
              <w:t>保存老人健康监测记录</w:t>
            </w:r>
          </w:p>
        </w:tc>
      </w:tr>
      <w:tr>
        <w:tc>
          <w:tcPr>
            <w:tcW w:type="dxa" w:w="4561"/>
            <w:vAlign w:val="center"/>
          </w:tcPr>
          <w:p>
            <w:pPr>
              <w:jc w:val="center"/>
            </w:pPr>
            <w:r/>
            <w:r>
              <w:rPr>
                <w:rFonts w:ascii="宋体" w:hAnsi="宋体" w:eastAsia="宋体"/>
                <w:b w:val="0"/>
                <w:sz w:val="21"/>
              </w:rPr>
              <w:t>alert_record</w:t>
            </w:r>
          </w:p>
        </w:tc>
        <w:tc>
          <w:tcPr>
            <w:tcW w:type="dxa" w:w="4561"/>
            <w:vAlign w:val="center"/>
          </w:tcPr>
          <w:p>
            <w:pPr>
              <w:jc w:val="center"/>
            </w:pPr>
            <w:r/>
            <w:r>
              <w:rPr>
                <w:rFonts w:ascii="宋体" w:hAnsi="宋体" w:eastAsia="宋体"/>
                <w:b w:val="0"/>
                <w:sz w:val="21"/>
              </w:rPr>
              <w:t>保存异常预警记录与处理状态</w:t>
            </w:r>
          </w:p>
        </w:tc>
      </w:tr>
      <w:tr>
        <w:tc>
          <w:tcPr>
            <w:tcW w:type="dxa" w:w="4561"/>
            <w:vAlign w:val="center"/>
          </w:tcPr>
          <w:p>
            <w:pPr>
              <w:jc w:val="center"/>
            </w:pPr>
            <w:r/>
            <w:r>
              <w:rPr>
                <w:rFonts w:ascii="宋体" w:hAnsi="宋体" w:eastAsia="宋体"/>
                <w:b w:val="0"/>
                <w:sz w:val="21"/>
              </w:rPr>
              <w:t>service_order</w:t>
            </w:r>
          </w:p>
        </w:tc>
        <w:tc>
          <w:tcPr>
            <w:tcW w:type="dxa" w:w="4561"/>
            <w:vAlign w:val="center"/>
          </w:tcPr>
          <w:p>
            <w:pPr>
              <w:jc w:val="center"/>
            </w:pPr>
            <w:r/>
            <w:r>
              <w:rPr>
                <w:rFonts w:ascii="宋体" w:hAnsi="宋体" w:eastAsia="宋体"/>
                <w:b w:val="0"/>
                <w:sz w:val="21"/>
              </w:rPr>
              <w:t>保存服务工单与执行过程</w:t>
            </w:r>
          </w:p>
        </w:tc>
      </w:tr>
      <w:tr>
        <w:tc>
          <w:tcPr>
            <w:tcW w:type="dxa" w:w="4561"/>
            <w:vAlign w:val="center"/>
          </w:tcPr>
          <w:p>
            <w:pPr>
              <w:jc w:val="center"/>
            </w:pPr>
            <w:r/>
            <w:r>
              <w:rPr>
                <w:rFonts w:ascii="宋体" w:hAnsi="宋体" w:eastAsia="宋体"/>
                <w:b w:val="0"/>
                <w:sz w:val="21"/>
              </w:rPr>
              <w:t>device_info</w:t>
            </w:r>
          </w:p>
        </w:tc>
        <w:tc>
          <w:tcPr>
            <w:tcW w:type="dxa" w:w="4561"/>
            <w:vAlign w:val="center"/>
          </w:tcPr>
          <w:p>
            <w:pPr>
              <w:jc w:val="center"/>
            </w:pPr>
            <w:r/>
            <w:r>
              <w:rPr>
                <w:rFonts w:ascii="宋体" w:hAnsi="宋体" w:eastAsia="宋体"/>
                <w:b w:val="0"/>
                <w:sz w:val="21"/>
              </w:rPr>
              <w:t>保存设备编号、绑定状态与运行信息</w:t>
            </w:r>
          </w:p>
        </w:tc>
      </w:tr>
      <w:tr>
        <w:tc>
          <w:tcPr>
            <w:tcW w:type="dxa" w:w="4561"/>
            <w:vAlign w:val="center"/>
          </w:tcPr>
          <w:p>
            <w:pPr>
              <w:jc w:val="center"/>
            </w:pPr>
            <w:r/>
            <w:r>
              <w:rPr>
                <w:rFonts w:ascii="宋体" w:hAnsi="宋体" w:eastAsia="宋体"/>
                <w:b w:val="0"/>
                <w:sz w:val="21"/>
              </w:rPr>
              <w:t>village_info</w:t>
            </w:r>
          </w:p>
        </w:tc>
        <w:tc>
          <w:tcPr>
            <w:tcW w:type="dxa" w:w="4561"/>
            <w:vAlign w:val="center"/>
          </w:tcPr>
          <w:p>
            <w:pPr>
              <w:jc w:val="center"/>
            </w:pPr>
            <w:r/>
            <w:r>
              <w:rPr>
                <w:rFonts w:ascii="宋体" w:hAnsi="宋体" w:eastAsia="宋体"/>
                <w:b w:val="0"/>
                <w:sz w:val="21"/>
              </w:rPr>
              <w:t>保存村庄信息和地理归属</w:t>
            </w:r>
          </w:p>
        </w:tc>
      </w:tr>
      <w:tr>
        <w:tc>
          <w:tcPr>
            <w:tcW w:type="dxa" w:w="4561"/>
            <w:vAlign w:val="center"/>
          </w:tcPr>
          <w:p>
            <w:pPr>
              <w:jc w:val="center"/>
            </w:pPr>
            <w:r/>
            <w:r>
              <w:rPr>
                <w:rFonts w:ascii="宋体" w:hAnsi="宋体" w:eastAsia="宋体"/>
                <w:b w:val="0"/>
                <w:sz w:val="21"/>
              </w:rPr>
              <w:t>provider_info</w:t>
            </w:r>
          </w:p>
        </w:tc>
        <w:tc>
          <w:tcPr>
            <w:tcW w:type="dxa" w:w="4561"/>
            <w:vAlign w:val="center"/>
          </w:tcPr>
          <w:p>
            <w:pPr>
              <w:jc w:val="center"/>
            </w:pPr>
            <w:r/>
            <w:r>
              <w:rPr>
                <w:rFonts w:ascii="宋体" w:hAnsi="宋体" w:eastAsia="宋体"/>
                <w:b w:val="0"/>
                <w:sz w:val="21"/>
              </w:rPr>
              <w:t>保存服务商基础信息和资质信息</w:t>
            </w:r>
          </w:p>
        </w:tc>
      </w:tr>
    </w:tbl>
    <w:p/>
    <w:p>
      <w:pPr>
        <w:pStyle w:val="Heading1"/>
        <w:spacing w:before="240" w:after="120"/>
        <w:jc w:val="left"/>
      </w:pPr>
      <w:r>
        <w:rPr>
          <w:rFonts w:ascii="黑体" w:hAnsi="黑体" w:eastAsia="黑体"/>
          <w:b/>
          <w:sz w:val="32"/>
        </w:rPr>
        <w:t>四、关键业务流程设计</w:t>
      </w:r>
    </w:p>
    <w:p>
      <w:pPr>
        <w:pStyle w:val="Heading2"/>
        <w:spacing w:before="120" w:after="60"/>
        <w:jc w:val="left"/>
      </w:pPr>
      <w:r>
        <w:rPr>
          <w:rFonts w:ascii="黑体" w:hAnsi="黑体" w:eastAsia="黑体"/>
          <w:b/>
          <w:sz w:val="28"/>
        </w:rPr>
        <w:t>4.1 登录与认证流程</w:t>
      </w:r>
    </w:p>
    <w:p>
      <w:pPr>
        <w:spacing w:line="360" w:lineRule="auto" w:after="0"/>
        <w:ind w:firstLine="839"/>
        <w:jc w:val="both"/>
      </w:pPr>
      <w:r>
        <w:rPr>
          <w:rFonts w:ascii="宋体" w:hAnsi="宋体" w:eastAsia="宋体"/>
          <w:b w:val="0"/>
          <w:sz w:val="24"/>
        </w:rPr>
        <w:t>用户在登录页输入账号密码后，前端通过 Axios 将请求发送至 /api/auth/login 接口，后端校验用户名和密码，认证通过后返回包含用户身份信息的 JWT Token。前端将 Token 持久化到本地，在后续请求中通过请求拦截器自动附加到 Authorization 请求头。路由守卫根据 Token 状态和用户角色控制页面访问范围，从而实现多角色权限管理。</w:t>
      </w:r>
    </w:p>
    <w:p>
      <w:pPr>
        <w:pStyle w:val="Heading2"/>
        <w:spacing w:before="120" w:after="60"/>
        <w:jc w:val="left"/>
      </w:pPr>
      <w:r>
        <w:rPr>
          <w:rFonts w:ascii="黑体" w:hAnsi="黑体" w:eastAsia="黑体"/>
          <w:b/>
          <w:sz w:val="28"/>
        </w:rPr>
        <w:t>4.2 预警响应流程</w:t>
      </w:r>
    </w:p>
    <w:p>
      <w:pPr>
        <w:spacing w:line="360" w:lineRule="auto" w:after="0"/>
        <w:ind w:firstLine="839"/>
        <w:jc w:val="both"/>
      </w:pPr>
      <w:r>
        <w:rPr>
          <w:rFonts w:ascii="宋体" w:hAnsi="宋体" w:eastAsia="宋体"/>
          <w:b w:val="0"/>
          <w:sz w:val="24"/>
        </w:rPr>
        <w:t>当老人出现健康异常、设备异常或人工上报事件时，系统会生成预警记录，初始状态为待处理。村级专员或政府管理员可以进入预警中心查看待办数据，专员接单后状态转为处理中，完成现场核查或电话确认后可提交处置结果。若需要家属确认，则状态转为待确认；若家属认可，则预警关闭；若家属提出异议，则预警重新进入待处理池，并继续流转。对于风险较高或处理复杂的场景，系统还支持预警升级。</w:t>
      </w:r>
    </w:p>
    <w:p>
      <w:pPr>
        <w:jc w:val="center"/>
      </w:pPr>
      <w:r/>
    </w:p>
    <w:p>
      <w:pPr>
        <w:jc w:val="center"/>
      </w:pPr>
      <w:r>
        <w:rPr>
          <w:rFonts w:ascii="宋体" w:hAnsi="宋体" w:eastAsia="宋体"/>
          <w:b w:val="0"/>
          <w:sz w:val="21"/>
        </w:rPr>
        <w:t>图 4-1 预警响应流程图（图示资源已在项目目录中保留，可在最终排版时替换）</w:t>
      </w:r>
    </w:p>
    <w:p>
      <w:pPr>
        <w:pStyle w:val="Heading2"/>
        <w:spacing w:before="120" w:after="60"/>
        <w:jc w:val="left"/>
      </w:pPr>
      <w:r>
        <w:rPr>
          <w:rFonts w:ascii="黑体" w:hAnsi="黑体" w:eastAsia="黑体"/>
          <w:b/>
          <w:sz w:val="28"/>
        </w:rPr>
        <w:t>4.3 工单流转流程</w:t>
      </w:r>
    </w:p>
    <w:p>
      <w:pPr>
        <w:spacing w:line="360" w:lineRule="auto" w:after="0"/>
        <w:ind w:firstLine="839"/>
        <w:jc w:val="both"/>
      </w:pPr>
      <w:r>
        <w:rPr>
          <w:rFonts w:ascii="宋体" w:hAnsi="宋体" w:eastAsia="宋体"/>
          <w:b w:val="0"/>
          <w:sz w:val="24"/>
        </w:rPr>
        <w:t>在养老服务场景中，平台允许基于老人需求或预警结果创建工单。工单创建后由村级专员或政府管理员进行派发，服务商接单后进入执行阶段，执行完成后由发起方或家属进行评价，从而实现“创建—派单—接单—执行—评价”的闭环服务链路。这一流程使平台不仅具备事件管理能力，也具备服务落地能力。</w:t>
      </w:r>
    </w:p>
    <w:p>
      <w:pPr>
        <w:jc w:val="center"/>
      </w:pPr>
      <w:r/>
    </w:p>
    <w:p>
      <w:pPr>
        <w:jc w:val="center"/>
      </w:pPr>
      <w:r>
        <w:rPr>
          <w:rFonts w:ascii="宋体" w:hAnsi="宋体" w:eastAsia="宋体"/>
          <w:b w:val="0"/>
          <w:sz w:val="21"/>
        </w:rPr>
        <w:t>图 4-2 服务工单流转流程图（图示资源已在项目目录中保留，可在最终排版时替换）</w:t>
      </w:r>
    </w:p>
    <w:p>
      <w:pPr>
        <w:pStyle w:val="Heading1"/>
        <w:spacing w:before="240" w:after="120"/>
        <w:jc w:val="left"/>
      </w:pPr>
      <w:r>
        <w:rPr>
          <w:rFonts w:ascii="黑体" w:hAnsi="黑体" w:eastAsia="黑体"/>
          <w:b/>
          <w:sz w:val="32"/>
        </w:rPr>
        <w:t>五、系统实现</w:t>
      </w:r>
    </w:p>
    <w:p>
      <w:pPr>
        <w:pStyle w:val="Heading2"/>
        <w:spacing w:before="120" w:after="60"/>
        <w:jc w:val="left"/>
      </w:pPr>
      <w:r>
        <w:rPr>
          <w:rFonts w:ascii="黑体" w:hAnsi="黑体" w:eastAsia="黑体"/>
          <w:b/>
          <w:sz w:val="28"/>
        </w:rPr>
        <w:t>5.1 前端实现</w:t>
      </w:r>
    </w:p>
    <w:p>
      <w:pPr>
        <w:spacing w:line="360" w:lineRule="auto" w:after="0"/>
        <w:ind w:firstLine="839"/>
        <w:jc w:val="both"/>
      </w:pPr>
      <w:r>
        <w:rPr>
          <w:rFonts w:ascii="宋体" w:hAnsi="宋体" w:eastAsia="宋体"/>
          <w:b w:val="0"/>
          <w:sz w:val="24"/>
        </w:rPr>
        <w:t>前端采用 Vue 3 作为基础框架，通过 Pinia 管理全局用户状态、菜单权限与页面共享数据，通过 Vue Router 实现多角色页面路由组织。项目采用后台壳层布局，结合页面上下文、工作台操作区和状态栏，构建出适合政府端、村级端、服务商端等后台场景的交互框架。</w:t>
      </w:r>
    </w:p>
    <w:p>
      <w:pPr>
        <w:spacing w:line="360" w:lineRule="auto" w:after="0"/>
        <w:ind w:firstLine="839"/>
        <w:jc w:val="both"/>
      </w:pPr>
      <w:r>
        <w:rPr>
          <w:rFonts w:ascii="宋体" w:hAnsi="宋体" w:eastAsia="宋体"/>
          <w:b w:val="0"/>
          <w:sz w:val="24"/>
        </w:rPr>
        <w:t>在界面层面，系统广泛使用 Element Plus 进行表单、表格、弹窗、分页等业务组件构建，同时结合设计系统样式文件统一视觉语言。对于驾驶舱和大屏模块，则使用 ECharts 展示统计图表，使用 Three.js 支撑三维地图或三维视觉表现，以增强运营展示效果。</w:t>
      </w:r>
    </w:p>
    <w:p>
      <w:pPr>
        <w:pStyle w:val="Heading2"/>
        <w:spacing w:before="120" w:after="60"/>
        <w:jc w:val="left"/>
      </w:pPr>
      <w:r>
        <w:rPr>
          <w:rFonts w:ascii="黑体" w:hAnsi="黑体" w:eastAsia="黑体"/>
          <w:b/>
          <w:sz w:val="28"/>
        </w:rPr>
        <w:t>5.2 后端实现</w:t>
      </w:r>
    </w:p>
    <w:p>
      <w:pPr>
        <w:spacing w:line="360" w:lineRule="auto" w:after="0"/>
        <w:ind w:firstLine="839"/>
        <w:jc w:val="both"/>
      </w:pPr>
      <w:r>
        <w:rPr>
          <w:rFonts w:ascii="宋体" w:hAnsi="宋体" w:eastAsia="宋体"/>
          <w:b w:val="0"/>
          <w:sz w:val="24"/>
        </w:rPr>
        <w:t>后端基于 Express 构建 RESTful API，围绕认证、老人管理、健康管理、预警管理、工单管理、设备管理、审批中心、大屏展示、客服系统等模块组织路由。系统通过中间件实现 CORS 处理、请求体解析、安全响应头、速率限制和 JWT 鉴权，保证接口访问安全与稳定。</w:t>
      </w:r>
    </w:p>
    <w:p>
      <w:pPr>
        <w:spacing w:line="360" w:lineRule="auto" w:after="0"/>
        <w:ind w:firstLine="839"/>
        <w:jc w:val="both"/>
      </w:pPr>
      <w:r>
        <w:rPr>
          <w:rFonts w:ascii="宋体" w:hAnsi="宋体" w:eastAsia="宋体"/>
          <w:b w:val="0"/>
          <w:sz w:val="24"/>
        </w:rPr>
        <w:t>在数据层，系统当前运行版本采用 MySQL 连接池进行数据库访问，兼顾结构化业务数据管理和实际部署需求。同时，项目中保留了从 SQLite 迁移过来的兼容层逻辑，使部分原有查询模式得以平滑迁移。</w:t>
      </w:r>
    </w:p>
    <w:p>
      <w:pPr>
        <w:pStyle w:val="Heading2"/>
        <w:spacing w:before="120" w:after="60"/>
        <w:jc w:val="left"/>
      </w:pPr>
      <w:r>
        <w:rPr>
          <w:rFonts w:ascii="黑体" w:hAnsi="黑体" w:eastAsia="黑体"/>
          <w:b/>
          <w:sz w:val="28"/>
        </w:rPr>
        <w:t>5.3 实时通信与 IoT 扩展实现</w:t>
      </w:r>
    </w:p>
    <w:p>
      <w:pPr>
        <w:spacing w:line="360" w:lineRule="auto" w:after="0"/>
        <w:ind w:firstLine="839"/>
        <w:jc w:val="both"/>
      </w:pPr>
      <w:r>
        <w:rPr>
          <w:rFonts w:ascii="宋体" w:hAnsi="宋体" w:eastAsia="宋体"/>
          <w:b w:val="0"/>
          <w:sz w:val="24"/>
        </w:rPr>
        <w:t>系统内置 WebSocket 服务，用于客服呼叫请求、客服接听、通话结束和聊天消息的双向推送。在 IoT 扩展方面，平台预留了设备引擎、MQTT Broker、MQTT Bridge 和串口桥接能力，可用于智能手环等设备的实时数据接入。为了保证核心业务链路稳定，当前系统默认关闭 IoT 模块自动启动，避免高频日志与模拟数据影响登录和接口响应。</w:t>
      </w:r>
    </w:p>
    <w:p>
      <w:pPr>
        <w:pStyle w:val="Heading2"/>
        <w:spacing w:before="120" w:after="60"/>
        <w:jc w:val="left"/>
      </w:pPr>
      <w:r>
        <w:rPr>
          <w:rFonts w:ascii="黑体" w:hAnsi="黑体" w:eastAsia="黑体"/>
          <w:b/>
          <w:sz w:val="28"/>
        </w:rPr>
        <w:t>5.4 大屏与可视化实现</w:t>
      </w:r>
    </w:p>
    <w:p>
      <w:pPr>
        <w:spacing w:line="360" w:lineRule="auto" w:after="0"/>
        <w:ind w:firstLine="839"/>
        <w:jc w:val="both"/>
      </w:pPr>
      <w:r>
        <w:rPr>
          <w:rFonts w:ascii="宋体" w:hAnsi="宋体" w:eastAsia="宋体"/>
          <w:b w:val="0"/>
          <w:sz w:val="24"/>
        </w:rPr>
        <w:t>政府端数据大屏是本项目的展示亮点之一。系统对大屏页面进行了整体重构，新增了刷新机制、更新时间提示、告警滚动区和指挥入口，并将三维地图从单纯的炫技展示转化为更具业务操作性的风险工作区。通过区县检索、排序、风险筛选和下钻导航，大屏不仅能够“看”，还能辅助“管”和“调度”。</w:t>
      </w:r>
    </w:p>
    <w:p>
      <w:pPr>
        <w:pStyle w:val="Heading1"/>
        <w:spacing w:before="240" w:after="120"/>
        <w:jc w:val="left"/>
      </w:pPr>
      <w:r>
        <w:rPr>
          <w:rFonts w:ascii="黑体" w:hAnsi="黑体" w:eastAsia="黑体"/>
          <w:b/>
          <w:sz w:val="32"/>
        </w:rPr>
        <w:t>六、系统测试与运行结果</w:t>
      </w:r>
    </w:p>
    <w:p>
      <w:pPr>
        <w:pStyle w:val="Heading2"/>
        <w:spacing w:before="120" w:after="60"/>
        <w:jc w:val="left"/>
      </w:pPr>
      <w:r>
        <w:rPr>
          <w:rFonts w:ascii="黑体" w:hAnsi="黑体" w:eastAsia="黑体"/>
          <w:b/>
          <w:sz w:val="28"/>
        </w:rPr>
        <w:t>6.1 测试环境</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Pr>
          <w:p>
            <w:pPr>
              <w:jc w:val="center"/>
            </w:pPr>
            <w:r/>
            <w:r>
              <w:rPr>
                <w:rFonts w:ascii="宋体" w:hAnsi="宋体" w:eastAsia="宋体"/>
                <w:b/>
                <w:sz w:val="21"/>
              </w:rPr>
              <w:t>项目</w:t>
            </w:r>
          </w:p>
        </w:tc>
        <w:tc>
          <w:tcPr>
            <w:tcW w:type="dxa" w:w="4561"/>
            <w:vAlign w:val="center"/>
          </w:tcPr>
          <w:p>
            <w:pPr>
              <w:jc w:val="center"/>
            </w:pPr>
            <w:r/>
            <w:r>
              <w:rPr>
                <w:rFonts w:ascii="宋体" w:hAnsi="宋体" w:eastAsia="宋体"/>
                <w:b/>
                <w:sz w:val="21"/>
              </w:rPr>
              <w:t>测试环境</w:t>
            </w:r>
          </w:p>
        </w:tc>
      </w:tr>
      <w:tr>
        <w:tc>
          <w:tcPr>
            <w:tcW w:type="dxa" w:w="4561"/>
            <w:vAlign w:val="center"/>
          </w:tcPr>
          <w:p>
            <w:pPr>
              <w:jc w:val="center"/>
            </w:pPr>
            <w:r/>
            <w:r>
              <w:rPr>
                <w:rFonts w:ascii="宋体" w:hAnsi="宋体" w:eastAsia="宋体"/>
                <w:b w:val="0"/>
                <w:sz w:val="21"/>
              </w:rPr>
              <w:t>操作系统</w:t>
            </w:r>
          </w:p>
        </w:tc>
        <w:tc>
          <w:tcPr>
            <w:tcW w:type="dxa" w:w="4561"/>
            <w:vAlign w:val="center"/>
          </w:tcPr>
          <w:p>
            <w:pPr>
              <w:jc w:val="center"/>
            </w:pPr>
            <w:r/>
            <w:r>
              <w:rPr>
                <w:rFonts w:ascii="宋体" w:hAnsi="宋体" w:eastAsia="宋体"/>
                <w:b w:val="0"/>
                <w:sz w:val="21"/>
              </w:rPr>
              <w:t>Windows 10/11 开发环境</w:t>
            </w:r>
          </w:p>
        </w:tc>
      </w:tr>
      <w:tr>
        <w:tc>
          <w:tcPr>
            <w:tcW w:type="dxa" w:w="4561"/>
            <w:vAlign w:val="center"/>
          </w:tcPr>
          <w:p>
            <w:pPr>
              <w:jc w:val="center"/>
            </w:pPr>
            <w:r/>
            <w:r>
              <w:rPr>
                <w:rFonts w:ascii="宋体" w:hAnsi="宋体" w:eastAsia="宋体"/>
                <w:b w:val="0"/>
                <w:sz w:val="21"/>
              </w:rPr>
              <w:t>前端运行</w:t>
            </w:r>
          </w:p>
        </w:tc>
        <w:tc>
          <w:tcPr>
            <w:tcW w:type="dxa" w:w="4561"/>
            <w:vAlign w:val="center"/>
          </w:tcPr>
          <w:p>
            <w:pPr>
              <w:jc w:val="center"/>
            </w:pPr>
            <w:r/>
            <w:r>
              <w:rPr>
                <w:rFonts w:ascii="宋体" w:hAnsi="宋体" w:eastAsia="宋体"/>
                <w:b w:val="0"/>
                <w:sz w:val="21"/>
              </w:rPr>
              <w:t>Vite 开发服务器，默认端口 3000</w:t>
            </w:r>
          </w:p>
        </w:tc>
      </w:tr>
      <w:tr>
        <w:tc>
          <w:tcPr>
            <w:tcW w:type="dxa" w:w="4561"/>
            <w:vAlign w:val="center"/>
          </w:tcPr>
          <w:p>
            <w:pPr>
              <w:jc w:val="center"/>
            </w:pPr>
            <w:r/>
            <w:r>
              <w:rPr>
                <w:rFonts w:ascii="宋体" w:hAnsi="宋体" w:eastAsia="宋体"/>
                <w:b w:val="0"/>
                <w:sz w:val="21"/>
              </w:rPr>
              <w:t>后端运行</w:t>
            </w:r>
          </w:p>
        </w:tc>
        <w:tc>
          <w:tcPr>
            <w:tcW w:type="dxa" w:w="4561"/>
            <w:vAlign w:val="center"/>
          </w:tcPr>
          <w:p>
            <w:pPr>
              <w:jc w:val="center"/>
            </w:pPr>
            <w:r/>
            <w:r>
              <w:rPr>
                <w:rFonts w:ascii="宋体" w:hAnsi="宋体" w:eastAsia="宋体"/>
                <w:b w:val="0"/>
                <w:sz w:val="21"/>
              </w:rPr>
              <w:t>Node.js + Express，默认端口 8080</w:t>
            </w:r>
          </w:p>
        </w:tc>
      </w:tr>
      <w:tr>
        <w:tc>
          <w:tcPr>
            <w:tcW w:type="dxa" w:w="4561"/>
            <w:vAlign w:val="center"/>
          </w:tcPr>
          <w:p>
            <w:pPr>
              <w:jc w:val="center"/>
            </w:pPr>
            <w:r/>
            <w:r>
              <w:rPr>
                <w:rFonts w:ascii="宋体" w:hAnsi="宋体" w:eastAsia="宋体"/>
                <w:b w:val="0"/>
                <w:sz w:val="21"/>
              </w:rPr>
              <w:t>数据库</w:t>
            </w:r>
          </w:p>
        </w:tc>
        <w:tc>
          <w:tcPr>
            <w:tcW w:type="dxa" w:w="4561"/>
            <w:vAlign w:val="center"/>
          </w:tcPr>
          <w:p>
            <w:pPr>
              <w:jc w:val="center"/>
            </w:pPr>
            <w:r/>
            <w:r>
              <w:rPr>
                <w:rFonts w:ascii="宋体" w:hAnsi="宋体" w:eastAsia="宋体"/>
                <w:b w:val="0"/>
                <w:sz w:val="21"/>
              </w:rPr>
              <w:t>MySQL 8.x</w:t>
            </w:r>
          </w:p>
        </w:tc>
      </w:tr>
      <w:tr>
        <w:tc>
          <w:tcPr>
            <w:tcW w:type="dxa" w:w="4561"/>
            <w:vAlign w:val="center"/>
          </w:tcPr>
          <w:p>
            <w:pPr>
              <w:jc w:val="center"/>
            </w:pPr>
            <w:r/>
            <w:r>
              <w:rPr>
                <w:rFonts w:ascii="宋体" w:hAnsi="宋体" w:eastAsia="宋体"/>
                <w:b w:val="0"/>
                <w:sz w:val="21"/>
              </w:rPr>
              <w:t>浏览器</w:t>
            </w:r>
          </w:p>
        </w:tc>
        <w:tc>
          <w:tcPr>
            <w:tcW w:type="dxa" w:w="4561"/>
            <w:vAlign w:val="center"/>
          </w:tcPr>
          <w:p>
            <w:pPr>
              <w:jc w:val="center"/>
            </w:pPr>
            <w:r/>
            <w:r>
              <w:rPr>
                <w:rFonts w:ascii="宋体" w:hAnsi="宋体" w:eastAsia="宋体"/>
                <w:b w:val="0"/>
                <w:sz w:val="21"/>
              </w:rPr>
              <w:t>Chrome / Edge</w:t>
            </w:r>
          </w:p>
        </w:tc>
      </w:tr>
    </w:tbl>
    <w:p/>
    <w:p>
      <w:pPr>
        <w:pStyle w:val="Heading2"/>
        <w:spacing w:before="120" w:after="60"/>
        <w:jc w:val="left"/>
      </w:pPr>
      <w:r>
        <w:rPr>
          <w:rFonts w:ascii="黑体" w:hAnsi="黑体" w:eastAsia="黑体"/>
          <w:b/>
          <w:sz w:val="28"/>
        </w:rPr>
        <w:t>6.2 功能测试结果</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jc w:val="center"/>
            </w:pPr>
            <w:r/>
            <w:r>
              <w:rPr>
                <w:rFonts w:ascii="宋体" w:hAnsi="宋体" w:eastAsia="宋体"/>
                <w:b/>
                <w:sz w:val="21"/>
              </w:rPr>
              <w:t>测试项</w:t>
            </w:r>
          </w:p>
        </w:tc>
        <w:tc>
          <w:tcPr>
            <w:tcW w:type="dxa" w:w="3041"/>
            <w:vAlign w:val="center"/>
          </w:tcPr>
          <w:p>
            <w:pPr>
              <w:jc w:val="center"/>
            </w:pPr>
            <w:r/>
            <w:r>
              <w:rPr>
                <w:rFonts w:ascii="宋体" w:hAnsi="宋体" w:eastAsia="宋体"/>
                <w:b/>
                <w:sz w:val="21"/>
              </w:rPr>
              <w:t>测试内容</w:t>
            </w:r>
          </w:p>
        </w:tc>
        <w:tc>
          <w:tcPr>
            <w:tcW w:type="dxa" w:w="3041"/>
            <w:vAlign w:val="center"/>
          </w:tcPr>
          <w:p>
            <w:pPr>
              <w:jc w:val="center"/>
            </w:pPr>
            <w:r/>
            <w:r>
              <w:rPr>
                <w:rFonts w:ascii="宋体" w:hAnsi="宋体" w:eastAsia="宋体"/>
                <w:b/>
                <w:sz w:val="21"/>
              </w:rPr>
              <w:t>结果</w:t>
            </w:r>
          </w:p>
        </w:tc>
      </w:tr>
      <w:tr>
        <w:tc>
          <w:tcPr>
            <w:tcW w:type="dxa" w:w="3041"/>
            <w:vAlign w:val="center"/>
          </w:tcPr>
          <w:p>
            <w:pPr>
              <w:jc w:val="center"/>
            </w:pPr>
            <w:r/>
            <w:r>
              <w:rPr>
                <w:rFonts w:ascii="宋体" w:hAnsi="宋体" w:eastAsia="宋体"/>
                <w:b w:val="0"/>
                <w:sz w:val="21"/>
              </w:rPr>
              <w:t>登录认证</w:t>
            </w:r>
          </w:p>
        </w:tc>
        <w:tc>
          <w:tcPr>
            <w:tcW w:type="dxa" w:w="3041"/>
            <w:vAlign w:val="center"/>
          </w:tcPr>
          <w:p>
            <w:pPr>
              <w:jc w:val="center"/>
            </w:pPr>
            <w:r/>
            <w:r>
              <w:rPr>
                <w:rFonts w:ascii="宋体" w:hAnsi="宋体" w:eastAsia="宋体"/>
                <w:b w:val="0"/>
                <w:sz w:val="21"/>
              </w:rPr>
              <w:t>政府管理员、村级专员等多角色登录</w:t>
            </w:r>
          </w:p>
        </w:tc>
        <w:tc>
          <w:tcPr>
            <w:tcW w:type="dxa" w:w="3041"/>
            <w:vAlign w:val="center"/>
          </w:tcPr>
          <w:p>
            <w:pPr>
              <w:jc w:val="center"/>
            </w:pPr>
            <w:r/>
            <w:r>
              <w:rPr>
                <w:rFonts w:ascii="宋体" w:hAnsi="宋体" w:eastAsia="宋体"/>
                <w:b w:val="0"/>
                <w:sz w:val="21"/>
              </w:rPr>
              <w:t>通过</w:t>
            </w:r>
          </w:p>
        </w:tc>
      </w:tr>
      <w:tr>
        <w:tc>
          <w:tcPr>
            <w:tcW w:type="dxa" w:w="3041"/>
            <w:vAlign w:val="center"/>
          </w:tcPr>
          <w:p>
            <w:pPr>
              <w:jc w:val="center"/>
            </w:pPr>
            <w:r/>
            <w:r>
              <w:rPr>
                <w:rFonts w:ascii="宋体" w:hAnsi="宋体" w:eastAsia="宋体"/>
                <w:b w:val="0"/>
                <w:sz w:val="21"/>
              </w:rPr>
              <w:t>老人管理</w:t>
            </w:r>
          </w:p>
        </w:tc>
        <w:tc>
          <w:tcPr>
            <w:tcW w:type="dxa" w:w="3041"/>
            <w:vAlign w:val="center"/>
          </w:tcPr>
          <w:p>
            <w:pPr>
              <w:jc w:val="center"/>
            </w:pPr>
            <w:r/>
            <w:r>
              <w:rPr>
                <w:rFonts w:ascii="宋体" w:hAnsi="宋体" w:eastAsia="宋体"/>
                <w:b w:val="0"/>
                <w:sz w:val="21"/>
              </w:rPr>
              <w:t>老人信息查询、详情展示、列表访问</w:t>
            </w:r>
          </w:p>
        </w:tc>
        <w:tc>
          <w:tcPr>
            <w:tcW w:type="dxa" w:w="3041"/>
            <w:vAlign w:val="center"/>
          </w:tcPr>
          <w:p>
            <w:pPr>
              <w:jc w:val="center"/>
            </w:pPr>
            <w:r/>
            <w:r>
              <w:rPr>
                <w:rFonts w:ascii="宋体" w:hAnsi="宋体" w:eastAsia="宋体"/>
                <w:b w:val="0"/>
                <w:sz w:val="21"/>
              </w:rPr>
              <w:t>通过</w:t>
            </w:r>
          </w:p>
        </w:tc>
      </w:tr>
      <w:tr>
        <w:tc>
          <w:tcPr>
            <w:tcW w:type="dxa" w:w="3041"/>
            <w:vAlign w:val="center"/>
          </w:tcPr>
          <w:p>
            <w:pPr>
              <w:jc w:val="center"/>
            </w:pPr>
            <w:r/>
            <w:r>
              <w:rPr>
                <w:rFonts w:ascii="宋体" w:hAnsi="宋体" w:eastAsia="宋体"/>
                <w:b w:val="0"/>
                <w:sz w:val="21"/>
              </w:rPr>
              <w:t>预警流程</w:t>
            </w:r>
          </w:p>
        </w:tc>
        <w:tc>
          <w:tcPr>
            <w:tcW w:type="dxa" w:w="3041"/>
            <w:vAlign w:val="center"/>
          </w:tcPr>
          <w:p>
            <w:pPr>
              <w:jc w:val="center"/>
            </w:pPr>
            <w:r/>
            <w:r>
              <w:rPr>
                <w:rFonts w:ascii="宋体" w:hAnsi="宋体" w:eastAsia="宋体"/>
                <w:b w:val="0"/>
                <w:sz w:val="21"/>
              </w:rPr>
              <w:t>接单、处理、家属确认、升级</w:t>
            </w:r>
          </w:p>
        </w:tc>
        <w:tc>
          <w:tcPr>
            <w:tcW w:type="dxa" w:w="3041"/>
            <w:vAlign w:val="center"/>
          </w:tcPr>
          <w:p>
            <w:pPr>
              <w:jc w:val="center"/>
            </w:pPr>
            <w:r/>
            <w:r>
              <w:rPr>
                <w:rFonts w:ascii="宋体" w:hAnsi="宋体" w:eastAsia="宋体"/>
                <w:b w:val="0"/>
                <w:sz w:val="21"/>
              </w:rPr>
              <w:t>通过</w:t>
            </w:r>
          </w:p>
        </w:tc>
      </w:tr>
      <w:tr>
        <w:tc>
          <w:tcPr>
            <w:tcW w:type="dxa" w:w="3041"/>
            <w:vAlign w:val="center"/>
          </w:tcPr>
          <w:p>
            <w:pPr>
              <w:jc w:val="center"/>
            </w:pPr>
            <w:r/>
            <w:r>
              <w:rPr>
                <w:rFonts w:ascii="宋体" w:hAnsi="宋体" w:eastAsia="宋体"/>
                <w:b w:val="0"/>
                <w:sz w:val="21"/>
              </w:rPr>
              <w:t>工单流程</w:t>
            </w:r>
          </w:p>
        </w:tc>
        <w:tc>
          <w:tcPr>
            <w:tcW w:type="dxa" w:w="3041"/>
            <w:vAlign w:val="center"/>
          </w:tcPr>
          <w:p>
            <w:pPr>
              <w:jc w:val="center"/>
            </w:pPr>
            <w:r/>
            <w:r>
              <w:rPr>
                <w:rFonts w:ascii="宋体" w:hAnsi="宋体" w:eastAsia="宋体"/>
                <w:b w:val="0"/>
                <w:sz w:val="21"/>
              </w:rPr>
              <w:t>创建、派单、接单、评价</w:t>
            </w:r>
          </w:p>
        </w:tc>
        <w:tc>
          <w:tcPr>
            <w:tcW w:type="dxa" w:w="3041"/>
            <w:vAlign w:val="center"/>
          </w:tcPr>
          <w:p>
            <w:pPr>
              <w:jc w:val="center"/>
            </w:pPr>
            <w:r/>
            <w:r>
              <w:rPr>
                <w:rFonts w:ascii="宋体" w:hAnsi="宋体" w:eastAsia="宋体"/>
                <w:b w:val="0"/>
                <w:sz w:val="21"/>
              </w:rPr>
              <w:t>通过</w:t>
            </w:r>
          </w:p>
        </w:tc>
      </w:tr>
      <w:tr>
        <w:tc>
          <w:tcPr>
            <w:tcW w:type="dxa" w:w="3041"/>
            <w:vAlign w:val="center"/>
          </w:tcPr>
          <w:p>
            <w:pPr>
              <w:jc w:val="center"/>
            </w:pPr>
            <w:r/>
            <w:r>
              <w:rPr>
                <w:rFonts w:ascii="宋体" w:hAnsi="宋体" w:eastAsia="宋体"/>
                <w:b w:val="0"/>
                <w:sz w:val="21"/>
              </w:rPr>
              <w:t>审批流程</w:t>
            </w:r>
          </w:p>
        </w:tc>
        <w:tc>
          <w:tcPr>
            <w:tcW w:type="dxa" w:w="3041"/>
            <w:vAlign w:val="center"/>
          </w:tcPr>
          <w:p>
            <w:pPr>
              <w:jc w:val="center"/>
            </w:pPr>
            <w:r/>
            <w:r>
              <w:rPr>
                <w:rFonts w:ascii="宋体" w:hAnsi="宋体" w:eastAsia="宋体"/>
                <w:b w:val="0"/>
                <w:sz w:val="21"/>
              </w:rPr>
              <w:t>家属绑定、设备绑定、服务商认证</w:t>
            </w:r>
          </w:p>
        </w:tc>
        <w:tc>
          <w:tcPr>
            <w:tcW w:type="dxa" w:w="3041"/>
            <w:vAlign w:val="center"/>
          </w:tcPr>
          <w:p>
            <w:pPr>
              <w:jc w:val="center"/>
            </w:pPr>
            <w:r/>
            <w:r>
              <w:rPr>
                <w:rFonts w:ascii="宋体" w:hAnsi="宋体" w:eastAsia="宋体"/>
                <w:b w:val="0"/>
                <w:sz w:val="21"/>
              </w:rPr>
              <w:t>通过</w:t>
            </w:r>
          </w:p>
        </w:tc>
      </w:tr>
      <w:tr>
        <w:tc>
          <w:tcPr>
            <w:tcW w:type="dxa" w:w="3041"/>
            <w:vAlign w:val="center"/>
          </w:tcPr>
          <w:p>
            <w:pPr>
              <w:jc w:val="center"/>
            </w:pPr>
            <w:r/>
            <w:r>
              <w:rPr>
                <w:rFonts w:ascii="宋体" w:hAnsi="宋体" w:eastAsia="宋体"/>
                <w:b w:val="0"/>
                <w:sz w:val="21"/>
              </w:rPr>
              <w:t>客服系统</w:t>
            </w:r>
          </w:p>
        </w:tc>
        <w:tc>
          <w:tcPr>
            <w:tcW w:type="dxa" w:w="3041"/>
            <w:vAlign w:val="center"/>
          </w:tcPr>
          <w:p>
            <w:pPr>
              <w:jc w:val="center"/>
            </w:pPr>
            <w:r/>
            <w:r>
              <w:rPr>
                <w:rFonts w:ascii="宋体" w:hAnsi="宋体" w:eastAsia="宋体"/>
                <w:b w:val="0"/>
                <w:sz w:val="21"/>
              </w:rPr>
              <w:t>WebSocket 呼叫推送与聊天</w:t>
            </w:r>
          </w:p>
        </w:tc>
        <w:tc>
          <w:tcPr>
            <w:tcW w:type="dxa" w:w="3041"/>
            <w:vAlign w:val="center"/>
          </w:tcPr>
          <w:p>
            <w:pPr>
              <w:jc w:val="center"/>
            </w:pPr>
            <w:r/>
            <w:r>
              <w:rPr>
                <w:rFonts w:ascii="宋体" w:hAnsi="宋体" w:eastAsia="宋体"/>
                <w:b w:val="0"/>
                <w:sz w:val="21"/>
              </w:rPr>
              <w:t>通过</w:t>
            </w:r>
          </w:p>
        </w:tc>
      </w:tr>
      <w:tr>
        <w:tc>
          <w:tcPr>
            <w:tcW w:type="dxa" w:w="3041"/>
            <w:vAlign w:val="center"/>
          </w:tcPr>
          <w:p>
            <w:pPr>
              <w:jc w:val="center"/>
            </w:pPr>
            <w:r/>
            <w:r>
              <w:rPr>
                <w:rFonts w:ascii="宋体" w:hAnsi="宋体" w:eastAsia="宋体"/>
                <w:b w:val="0"/>
                <w:sz w:val="21"/>
              </w:rPr>
              <w:t>数据大屏</w:t>
            </w:r>
          </w:p>
        </w:tc>
        <w:tc>
          <w:tcPr>
            <w:tcW w:type="dxa" w:w="3041"/>
            <w:vAlign w:val="center"/>
          </w:tcPr>
          <w:p>
            <w:pPr>
              <w:jc w:val="center"/>
            </w:pPr>
            <w:r/>
            <w:r>
              <w:rPr>
                <w:rFonts w:ascii="宋体" w:hAnsi="宋体" w:eastAsia="宋体"/>
                <w:b w:val="0"/>
                <w:sz w:val="21"/>
              </w:rPr>
              <w:t>图表展示、地图交互、告警滚动</w:t>
            </w:r>
          </w:p>
        </w:tc>
        <w:tc>
          <w:tcPr>
            <w:tcW w:type="dxa" w:w="3041"/>
            <w:vAlign w:val="center"/>
          </w:tcPr>
          <w:p>
            <w:pPr>
              <w:jc w:val="center"/>
            </w:pPr>
            <w:r/>
            <w:r>
              <w:rPr>
                <w:rFonts w:ascii="宋体" w:hAnsi="宋体" w:eastAsia="宋体"/>
                <w:b w:val="0"/>
                <w:sz w:val="21"/>
              </w:rPr>
              <w:t>通过</w:t>
            </w:r>
          </w:p>
        </w:tc>
      </w:tr>
    </w:tbl>
    <w:p/>
    <w:p>
      <w:pPr>
        <w:pStyle w:val="Heading2"/>
        <w:spacing w:before="120" w:after="60"/>
        <w:jc w:val="left"/>
      </w:pPr>
      <w:r>
        <w:rPr>
          <w:rFonts w:ascii="黑体" w:hAnsi="黑体" w:eastAsia="黑体"/>
          <w:b/>
          <w:sz w:val="28"/>
        </w:rPr>
        <w:t>6.3 性能与稳定性表现</w:t>
      </w:r>
    </w:p>
    <w:p>
      <w:pPr>
        <w:spacing w:line="360" w:lineRule="auto" w:after="0"/>
        <w:ind w:firstLine="839"/>
        <w:jc w:val="both"/>
      </w:pPr>
      <w:r>
        <w:rPr>
          <w:rFonts w:ascii="宋体" w:hAnsi="宋体" w:eastAsia="宋体"/>
          <w:b w:val="0"/>
          <w:sz w:val="24"/>
        </w:rPr>
        <w:t>通过对项目运行链路的调试与优化，系统当前能够较稳定地支撑前后端联调和业务演示。尤其在登录与基础接口链路上，项目通过关闭默认 IoT 自动启动、控制高频日志输出等方式，显著提升了后端响应稳定性。前端构建产物能够正常生成，主要页面可顺利完成演示。</w:t>
      </w:r>
    </w:p>
    <w:p>
      <w:pPr>
        <w:pStyle w:val="ListBullet"/>
        <w:spacing w:line="360" w:lineRule="auto"/>
      </w:pPr>
      <w:r>
        <w:rPr>
          <w:rFonts w:ascii="宋体" w:hAnsi="宋体" w:eastAsia="宋体"/>
          <w:b w:val="0"/>
          <w:sz w:val="24"/>
        </w:rPr>
        <w:t>前端生产构建能够正常完成，说明项目已具备发布基础。</w:t>
      </w:r>
    </w:p>
    <w:p>
      <w:pPr>
        <w:pStyle w:val="ListBullet"/>
        <w:spacing w:line="360" w:lineRule="auto"/>
      </w:pPr>
      <w:r>
        <w:rPr>
          <w:rFonts w:ascii="宋体" w:hAnsi="宋体" w:eastAsia="宋体"/>
          <w:b w:val="0"/>
          <w:sz w:val="24"/>
        </w:rPr>
        <w:t>后端健康检查接口可正常返回，说明服务启动链路稳定。</w:t>
      </w:r>
    </w:p>
    <w:p>
      <w:pPr>
        <w:pStyle w:val="ListBullet"/>
        <w:spacing w:line="360" w:lineRule="auto"/>
      </w:pPr>
      <w:r>
        <w:rPr>
          <w:rFonts w:ascii="宋体" w:hAnsi="宋体" w:eastAsia="宋体"/>
          <w:b w:val="0"/>
          <w:sz w:val="24"/>
        </w:rPr>
        <w:t>登录接口与主要业务接口已完成联调验证。</w:t>
      </w:r>
    </w:p>
    <w:p>
      <w:pPr>
        <w:pStyle w:val="ListBullet"/>
        <w:spacing w:line="360" w:lineRule="auto"/>
      </w:pPr>
      <w:r>
        <w:rPr>
          <w:rFonts w:ascii="宋体" w:hAnsi="宋体" w:eastAsia="宋体"/>
          <w:b w:val="0"/>
          <w:sz w:val="24"/>
        </w:rPr>
        <w:t>大屏、地图与复杂页面在演示环境中可正常访问。</w:t>
      </w:r>
    </w:p>
    <w:p>
      <w:pPr>
        <w:pStyle w:val="Heading2"/>
        <w:spacing w:before="120" w:after="60"/>
        <w:jc w:val="left"/>
      </w:pPr>
      <w:r>
        <w:rPr>
          <w:rFonts w:ascii="黑体" w:hAnsi="黑体" w:eastAsia="黑体"/>
          <w:b/>
          <w:sz w:val="28"/>
        </w:rPr>
        <w:t>6.4 运行成果说明</w:t>
      </w:r>
    </w:p>
    <w:p>
      <w:pPr>
        <w:spacing w:line="360" w:lineRule="auto" w:after="0"/>
        <w:ind w:firstLine="839"/>
        <w:jc w:val="both"/>
      </w:pPr>
      <w:r>
        <w:rPr>
          <w:rFonts w:ascii="宋体" w:hAnsi="宋体" w:eastAsia="宋体"/>
          <w:b w:val="0"/>
          <w:sz w:val="24"/>
        </w:rPr>
        <w:t>项目已形成较完整的比赛展示形态，能够从登录页进入政府端首页、预警中心、工单管理、审批中心、设备监控和数据大屏等核心页面，并可使用默认测试账号进行演示。平台结构完整、模块清晰、展示效果较好，具备较强的汇报与答辩表现力。</w:t>
      </w:r>
    </w:p>
    <w:p>
      <w:pPr>
        <w:pStyle w:val="Heading1"/>
        <w:spacing w:before="240" w:after="120"/>
        <w:jc w:val="left"/>
      </w:pPr>
      <w:r>
        <w:rPr>
          <w:rFonts w:ascii="黑体" w:hAnsi="黑体" w:eastAsia="黑体"/>
          <w:b/>
          <w:sz w:val="32"/>
        </w:rPr>
        <w:t>七、项目创新点</w:t>
      </w:r>
    </w:p>
    <w:p>
      <w:pPr>
        <w:pStyle w:val="Heading2"/>
        <w:spacing w:before="120" w:after="60"/>
        <w:jc w:val="left"/>
      </w:pPr>
      <w:r>
        <w:rPr>
          <w:rFonts w:ascii="黑体" w:hAnsi="黑体" w:eastAsia="黑体"/>
          <w:b/>
          <w:sz w:val="28"/>
        </w:rPr>
        <w:t>7.1 五端协同治理闭环</w:t>
      </w:r>
    </w:p>
    <w:p>
      <w:pPr>
        <w:spacing w:line="360" w:lineRule="auto" w:after="0"/>
        <w:ind w:firstLine="839"/>
        <w:jc w:val="both"/>
      </w:pPr>
      <w:r>
        <w:rPr>
          <w:rFonts w:ascii="宋体" w:hAnsi="宋体" w:eastAsia="宋体"/>
          <w:b w:val="0"/>
          <w:sz w:val="24"/>
        </w:rPr>
        <w:t>与传统仅关注单一服务端的养老系统不同，本项目构建了政府、村级专员、服务商、家属和老人五端协同模式，将监管、执行、交付、确认与自服务整合在一个平台之中，形成了更完整的乡村养老治理闭环。</w:t>
      </w:r>
    </w:p>
    <w:p>
      <w:pPr>
        <w:pStyle w:val="Heading2"/>
        <w:spacing w:before="120" w:after="60"/>
        <w:jc w:val="left"/>
      </w:pPr>
      <w:r>
        <w:rPr>
          <w:rFonts w:ascii="黑体" w:hAnsi="黑体" w:eastAsia="黑体"/>
          <w:b/>
          <w:sz w:val="28"/>
        </w:rPr>
        <w:t>7.2 业务流程闭环化设计</w:t>
      </w:r>
    </w:p>
    <w:p>
      <w:pPr>
        <w:spacing w:line="360" w:lineRule="auto" w:after="0"/>
        <w:ind w:firstLine="839"/>
        <w:jc w:val="both"/>
      </w:pPr>
      <w:r>
        <w:rPr>
          <w:rFonts w:ascii="宋体" w:hAnsi="宋体" w:eastAsia="宋体"/>
          <w:b w:val="0"/>
          <w:sz w:val="24"/>
        </w:rPr>
        <w:t>无论是预警处理还是服务工单，系统都强调流转记录、状态迁移、责任主体和结果确认，避免传统系统只重“信息展示”而忽略“过程闭环”的问题。这种流程化设计使平台更贴近真实业务管理场景。</w:t>
      </w:r>
    </w:p>
    <w:p>
      <w:pPr>
        <w:pStyle w:val="Heading2"/>
        <w:spacing w:before="120" w:after="60"/>
        <w:jc w:val="left"/>
      </w:pPr>
      <w:r>
        <w:rPr>
          <w:rFonts w:ascii="黑体" w:hAnsi="黑体" w:eastAsia="黑体"/>
          <w:b/>
          <w:sz w:val="28"/>
        </w:rPr>
        <w:t>7.3 可视化与实用性结合</w:t>
      </w:r>
    </w:p>
    <w:p>
      <w:pPr>
        <w:spacing w:line="360" w:lineRule="auto" w:after="0"/>
        <w:ind w:firstLine="839"/>
        <w:jc w:val="both"/>
      </w:pPr>
      <w:r>
        <w:rPr>
          <w:rFonts w:ascii="宋体" w:hAnsi="宋体" w:eastAsia="宋体"/>
          <w:b w:val="0"/>
          <w:sz w:val="24"/>
        </w:rPr>
        <w:t>项目在数据大屏和三维地图上并未停留于单纯展示层，而是将可视化能力与风险筛选、区县检索、运营指标和告警态势结合，增强了页面的业务实用性和决策支撑价值。</w:t>
      </w:r>
    </w:p>
    <w:p>
      <w:pPr>
        <w:pStyle w:val="Heading2"/>
        <w:spacing w:before="120" w:after="60"/>
        <w:jc w:val="left"/>
      </w:pPr>
      <w:r>
        <w:rPr>
          <w:rFonts w:ascii="黑体" w:hAnsi="黑体" w:eastAsia="黑体"/>
          <w:b/>
          <w:sz w:val="28"/>
        </w:rPr>
        <w:t>7.4 IoT 能力预留与低成本落地潜力</w:t>
      </w:r>
    </w:p>
    <w:p>
      <w:pPr>
        <w:spacing w:line="360" w:lineRule="auto" w:after="0"/>
        <w:ind w:firstLine="839"/>
        <w:jc w:val="both"/>
      </w:pPr>
      <w:r>
        <w:rPr>
          <w:rFonts w:ascii="宋体" w:hAnsi="宋体" w:eastAsia="宋体"/>
          <w:b w:val="0"/>
          <w:sz w:val="24"/>
        </w:rPr>
        <w:t>项目预留了 MQTT、设备引擎、串口桥接和智能手环接入能力，为后续扩展为软硬件一体化乡村养老平台提供了基础。同时，相较于大规模商用养老平台，该方案在部署与扩展上具有更强的灵活性和低成本复制潜力。</w:t>
      </w:r>
    </w:p>
    <w:p>
      <w:pPr>
        <w:pStyle w:val="Heading1"/>
        <w:spacing w:before="240" w:after="120"/>
        <w:jc w:val="left"/>
      </w:pPr>
      <w:r>
        <w:rPr>
          <w:rFonts w:ascii="黑体" w:hAnsi="黑体" w:eastAsia="黑体"/>
          <w:b/>
          <w:sz w:val="32"/>
        </w:rPr>
        <w:t>八、总结与展望</w:t>
      </w:r>
    </w:p>
    <w:p>
      <w:pPr>
        <w:pStyle w:val="Heading2"/>
        <w:spacing w:before="120" w:after="60"/>
        <w:jc w:val="left"/>
      </w:pPr>
      <w:r>
        <w:rPr>
          <w:rFonts w:ascii="黑体" w:hAnsi="黑体" w:eastAsia="黑体"/>
          <w:b/>
          <w:sz w:val="28"/>
        </w:rPr>
        <w:t>8.1 项目总结</w:t>
      </w:r>
    </w:p>
    <w:p>
      <w:pPr>
        <w:spacing w:line="360" w:lineRule="auto" w:after="0"/>
        <w:ind w:firstLine="839"/>
        <w:jc w:val="both"/>
      </w:pPr>
      <w:r>
        <w:rPr>
          <w:rFonts w:ascii="宋体" w:hAnsi="宋体" w:eastAsia="宋体"/>
          <w:b w:val="0"/>
          <w:sz w:val="24"/>
        </w:rPr>
        <w:t>通过本次项目实训，完成了一个围绕乡村养老场景展开的综合性信息系统设计与实现。项目不仅覆盖了前端界面开发、后端接口设计、数据库建模、实时通信与可视化展示，还体现了从业务理解、信息架构设计到系统落地实现的完整过程。整体来看，系统已具备较好的展示性、完整性和可扩展性。</w:t>
      </w:r>
    </w:p>
    <w:p>
      <w:pPr>
        <w:pStyle w:val="Heading2"/>
        <w:spacing w:before="120" w:after="60"/>
        <w:jc w:val="left"/>
      </w:pPr>
      <w:r>
        <w:rPr>
          <w:rFonts w:ascii="黑体" w:hAnsi="黑体" w:eastAsia="黑体"/>
          <w:b/>
          <w:sz w:val="28"/>
        </w:rPr>
        <w:t>8.2 当前不足</w:t>
      </w:r>
    </w:p>
    <w:p>
      <w:pPr>
        <w:pStyle w:val="ListBullet"/>
        <w:spacing w:line="360" w:lineRule="auto"/>
      </w:pPr>
      <w:r>
        <w:rPr>
          <w:rFonts w:ascii="宋体" w:hAnsi="宋体" w:eastAsia="宋体"/>
          <w:b w:val="0"/>
          <w:sz w:val="24"/>
        </w:rPr>
        <w:t>部分历史文档与当前实际运行架构之间仍存在版本差异，需要进一步统一更新。</w:t>
      </w:r>
    </w:p>
    <w:p>
      <w:pPr>
        <w:pStyle w:val="ListBullet"/>
        <w:spacing w:line="360" w:lineRule="auto"/>
      </w:pPr>
      <w:r>
        <w:rPr>
          <w:rFonts w:ascii="宋体" w:hAnsi="宋体" w:eastAsia="宋体"/>
          <w:b w:val="0"/>
          <w:sz w:val="24"/>
        </w:rPr>
        <w:t>IoT 与设备接入链路已预留，但真实硬件数据接入仍可继续深化。</w:t>
      </w:r>
    </w:p>
    <w:p>
      <w:pPr>
        <w:pStyle w:val="ListBullet"/>
        <w:spacing w:line="360" w:lineRule="auto"/>
      </w:pPr>
      <w:r>
        <w:rPr>
          <w:rFonts w:ascii="宋体" w:hAnsi="宋体" w:eastAsia="宋体"/>
          <w:b w:val="0"/>
          <w:sz w:val="24"/>
        </w:rPr>
        <w:t>部分页面仍以演示数据和前端推导模型为主，后续可逐步切换为真实业务数据。</w:t>
      </w:r>
    </w:p>
    <w:p>
      <w:pPr>
        <w:pStyle w:val="ListBullet"/>
        <w:spacing w:line="360" w:lineRule="auto"/>
      </w:pPr>
      <w:r>
        <w:rPr>
          <w:rFonts w:ascii="宋体" w:hAnsi="宋体" w:eastAsia="宋体"/>
          <w:b w:val="0"/>
          <w:sz w:val="24"/>
        </w:rPr>
        <w:t>项目在公开部署前仍需进一步完成环境变量脱敏、数据脱敏与运维脚本完善。</w:t>
      </w:r>
    </w:p>
    <w:p>
      <w:pPr>
        <w:pStyle w:val="Heading2"/>
        <w:spacing w:before="120" w:after="60"/>
        <w:jc w:val="left"/>
      </w:pPr>
      <w:r>
        <w:rPr>
          <w:rFonts w:ascii="黑体" w:hAnsi="黑体" w:eastAsia="黑体"/>
          <w:b/>
          <w:sz w:val="28"/>
        </w:rPr>
        <w:t>8.3 未来展望</w:t>
      </w:r>
    </w:p>
    <w:p>
      <w:pPr>
        <w:spacing w:line="360" w:lineRule="auto" w:after="0"/>
        <w:ind w:firstLine="839"/>
        <w:jc w:val="both"/>
      </w:pPr>
      <w:r>
        <w:rPr>
          <w:rFonts w:ascii="宋体" w:hAnsi="宋体" w:eastAsia="宋体"/>
          <w:b w:val="0"/>
          <w:sz w:val="24"/>
        </w:rPr>
        <w:t>未来可从三个方向继续推进：第一，进一步完善硬件设备接入，提升平台在真实乡村养老场景下的数据采集能力；第二，增强 AI 分析、风险预测和服务推荐能力，提升平台智能化水平；第三，针对移动端、适老化与基层服务流程继续打磨，使平台从“可展示”升级为“可落地、可复制、可运营”的乡村智慧养老解决方案。</w:t>
      </w:r>
    </w:p>
    <w:p>
      <w:pPr>
        <w:pStyle w:val="Heading1"/>
        <w:spacing w:before="240" w:after="120"/>
        <w:jc w:val="left"/>
      </w:pPr>
      <w:r>
        <w:rPr>
          <w:rFonts w:ascii="黑体" w:hAnsi="黑体" w:eastAsia="黑体"/>
          <w:b/>
          <w:sz w:val="32"/>
        </w:rPr>
        <w:t>附录：默认测试账号</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Pr>
          <w:p>
            <w:pPr>
              <w:jc w:val="center"/>
            </w:pPr>
            <w:r/>
            <w:r>
              <w:rPr>
                <w:rFonts w:ascii="宋体" w:hAnsi="宋体" w:eastAsia="宋体"/>
                <w:b/>
                <w:sz w:val="21"/>
              </w:rPr>
              <w:t>角色</w:t>
            </w:r>
          </w:p>
        </w:tc>
        <w:tc>
          <w:tcPr>
            <w:tcW w:type="dxa" w:w="3041"/>
            <w:vAlign w:val="center"/>
          </w:tcPr>
          <w:p>
            <w:pPr>
              <w:jc w:val="center"/>
            </w:pPr>
            <w:r/>
            <w:r>
              <w:rPr>
                <w:rFonts w:ascii="宋体" w:hAnsi="宋体" w:eastAsia="宋体"/>
                <w:b/>
                <w:sz w:val="21"/>
              </w:rPr>
              <w:t>账号</w:t>
            </w:r>
          </w:p>
        </w:tc>
        <w:tc>
          <w:tcPr>
            <w:tcW w:type="dxa" w:w="3041"/>
            <w:vAlign w:val="center"/>
          </w:tcPr>
          <w:p>
            <w:pPr>
              <w:jc w:val="center"/>
            </w:pPr>
            <w:r/>
            <w:r>
              <w:rPr>
                <w:rFonts w:ascii="宋体" w:hAnsi="宋体" w:eastAsia="宋体"/>
                <w:b/>
                <w:sz w:val="21"/>
              </w:rPr>
              <w:t>密码</w:t>
            </w:r>
          </w:p>
        </w:tc>
      </w:tr>
      <w:tr>
        <w:tc>
          <w:tcPr>
            <w:tcW w:type="dxa" w:w="3041"/>
            <w:vAlign w:val="center"/>
          </w:tcPr>
          <w:p>
            <w:pPr>
              <w:jc w:val="center"/>
            </w:pPr>
            <w:r/>
            <w:r>
              <w:rPr>
                <w:rFonts w:ascii="宋体" w:hAnsi="宋体" w:eastAsia="宋体"/>
                <w:b w:val="0"/>
                <w:sz w:val="21"/>
              </w:rPr>
              <w:t>政府管理员</w:t>
            </w:r>
          </w:p>
        </w:tc>
        <w:tc>
          <w:tcPr>
            <w:tcW w:type="dxa" w:w="3041"/>
            <w:vAlign w:val="center"/>
          </w:tcPr>
          <w:p>
            <w:pPr>
              <w:jc w:val="center"/>
            </w:pPr>
            <w:r/>
            <w:r>
              <w:rPr>
                <w:rFonts w:ascii="宋体" w:hAnsi="宋体" w:eastAsia="宋体"/>
                <w:b w:val="0"/>
                <w:sz w:val="21"/>
              </w:rPr>
              <w:t>gov_admin</w:t>
            </w:r>
          </w:p>
        </w:tc>
        <w:tc>
          <w:tcPr>
            <w:tcW w:type="dxa" w:w="3041"/>
            <w:vAlign w:val="center"/>
          </w:tcPr>
          <w:p>
            <w:pPr>
              <w:jc w:val="center"/>
            </w:pPr>
            <w:r/>
            <w:r>
              <w:rPr>
                <w:rFonts w:ascii="宋体" w:hAnsi="宋体" w:eastAsia="宋体"/>
                <w:b w:val="0"/>
                <w:sz w:val="21"/>
              </w:rPr>
              <w:t>admin123</w:t>
            </w:r>
          </w:p>
        </w:tc>
      </w:tr>
      <w:tr>
        <w:tc>
          <w:tcPr>
            <w:tcW w:type="dxa" w:w="3041"/>
            <w:vAlign w:val="center"/>
          </w:tcPr>
          <w:p>
            <w:pPr>
              <w:jc w:val="center"/>
            </w:pPr>
            <w:r/>
            <w:r>
              <w:rPr>
                <w:rFonts w:ascii="宋体" w:hAnsi="宋体" w:eastAsia="宋体"/>
                <w:b w:val="0"/>
                <w:sz w:val="21"/>
              </w:rPr>
              <w:t>村级专员</w:t>
            </w:r>
          </w:p>
        </w:tc>
        <w:tc>
          <w:tcPr>
            <w:tcW w:type="dxa" w:w="3041"/>
            <w:vAlign w:val="center"/>
          </w:tcPr>
          <w:p>
            <w:pPr>
              <w:jc w:val="center"/>
            </w:pPr>
            <w:r/>
            <w:r>
              <w:rPr>
                <w:rFonts w:ascii="宋体" w:hAnsi="宋体" w:eastAsia="宋体"/>
                <w:b w:val="0"/>
                <w:sz w:val="21"/>
              </w:rPr>
              <w:t>village_staff</w:t>
            </w:r>
          </w:p>
        </w:tc>
        <w:tc>
          <w:tcPr>
            <w:tcW w:type="dxa" w:w="3041"/>
            <w:vAlign w:val="center"/>
          </w:tcPr>
          <w:p>
            <w:pPr>
              <w:jc w:val="center"/>
            </w:pPr>
            <w:r/>
            <w:r>
              <w:rPr>
                <w:rFonts w:ascii="宋体" w:hAnsi="宋体" w:eastAsia="宋体"/>
                <w:b w:val="0"/>
                <w:sz w:val="21"/>
              </w:rPr>
              <w:t>staff123</w:t>
            </w:r>
          </w:p>
        </w:tc>
      </w:tr>
      <w:tr>
        <w:tc>
          <w:tcPr>
            <w:tcW w:type="dxa" w:w="3041"/>
            <w:vAlign w:val="center"/>
          </w:tcPr>
          <w:p>
            <w:pPr>
              <w:jc w:val="center"/>
            </w:pPr>
            <w:r/>
            <w:r>
              <w:rPr>
                <w:rFonts w:ascii="宋体" w:hAnsi="宋体" w:eastAsia="宋体"/>
                <w:b w:val="0"/>
                <w:sz w:val="21"/>
              </w:rPr>
              <w:t>服务商</w:t>
            </w:r>
          </w:p>
        </w:tc>
        <w:tc>
          <w:tcPr>
            <w:tcW w:type="dxa" w:w="3041"/>
            <w:vAlign w:val="center"/>
          </w:tcPr>
          <w:p>
            <w:pPr>
              <w:jc w:val="center"/>
            </w:pPr>
            <w:r/>
            <w:r>
              <w:rPr>
                <w:rFonts w:ascii="宋体" w:hAnsi="宋体" w:eastAsia="宋体"/>
                <w:b w:val="0"/>
                <w:sz w:val="21"/>
              </w:rPr>
              <w:t>provider_user</w:t>
            </w:r>
          </w:p>
        </w:tc>
        <w:tc>
          <w:tcPr>
            <w:tcW w:type="dxa" w:w="3041"/>
            <w:vAlign w:val="center"/>
          </w:tcPr>
          <w:p>
            <w:pPr>
              <w:jc w:val="center"/>
            </w:pPr>
            <w:r/>
            <w:r>
              <w:rPr>
                <w:rFonts w:ascii="宋体" w:hAnsi="宋体" w:eastAsia="宋体"/>
                <w:b w:val="0"/>
                <w:sz w:val="21"/>
              </w:rPr>
              <w:t>provider123</w:t>
            </w:r>
          </w:p>
        </w:tc>
      </w:tr>
      <w:tr>
        <w:tc>
          <w:tcPr>
            <w:tcW w:type="dxa" w:w="3041"/>
            <w:vAlign w:val="center"/>
          </w:tcPr>
          <w:p>
            <w:pPr>
              <w:jc w:val="center"/>
            </w:pPr>
            <w:r/>
            <w:r>
              <w:rPr>
                <w:rFonts w:ascii="宋体" w:hAnsi="宋体" w:eastAsia="宋体"/>
                <w:b w:val="0"/>
                <w:sz w:val="21"/>
              </w:rPr>
              <w:t>家属</w:t>
            </w:r>
          </w:p>
        </w:tc>
        <w:tc>
          <w:tcPr>
            <w:tcW w:type="dxa" w:w="3041"/>
            <w:vAlign w:val="center"/>
          </w:tcPr>
          <w:p>
            <w:pPr>
              <w:jc w:val="center"/>
            </w:pPr>
            <w:r/>
            <w:r>
              <w:rPr>
                <w:rFonts w:ascii="宋体" w:hAnsi="宋体" w:eastAsia="宋体"/>
                <w:b w:val="0"/>
                <w:sz w:val="21"/>
              </w:rPr>
              <w:t>family_user</w:t>
            </w:r>
          </w:p>
        </w:tc>
        <w:tc>
          <w:tcPr>
            <w:tcW w:type="dxa" w:w="3041"/>
            <w:vAlign w:val="center"/>
          </w:tcPr>
          <w:p>
            <w:pPr>
              <w:jc w:val="center"/>
            </w:pPr>
            <w:r/>
            <w:r>
              <w:rPr>
                <w:rFonts w:ascii="宋体" w:hAnsi="宋体" w:eastAsia="宋体"/>
                <w:b w:val="0"/>
                <w:sz w:val="21"/>
              </w:rPr>
              <w:t>family123</w:t>
            </w:r>
          </w:p>
        </w:tc>
      </w:tr>
      <w:tr>
        <w:tc>
          <w:tcPr>
            <w:tcW w:type="dxa" w:w="3041"/>
            <w:vAlign w:val="center"/>
          </w:tcPr>
          <w:p>
            <w:pPr>
              <w:jc w:val="center"/>
            </w:pPr>
            <w:r/>
            <w:r>
              <w:rPr>
                <w:rFonts w:ascii="宋体" w:hAnsi="宋体" w:eastAsia="宋体"/>
                <w:b w:val="0"/>
                <w:sz w:val="21"/>
              </w:rPr>
              <w:t>老人</w:t>
            </w:r>
          </w:p>
        </w:tc>
        <w:tc>
          <w:tcPr>
            <w:tcW w:type="dxa" w:w="3041"/>
            <w:vAlign w:val="center"/>
          </w:tcPr>
          <w:p>
            <w:pPr>
              <w:jc w:val="center"/>
            </w:pPr>
            <w:r/>
            <w:r>
              <w:rPr>
                <w:rFonts w:ascii="宋体" w:hAnsi="宋体" w:eastAsia="宋体"/>
                <w:b w:val="0"/>
                <w:sz w:val="21"/>
              </w:rPr>
              <w:t>elderly_user</w:t>
            </w:r>
          </w:p>
        </w:tc>
        <w:tc>
          <w:tcPr>
            <w:tcW w:type="dxa" w:w="3041"/>
            <w:vAlign w:val="center"/>
          </w:tcPr>
          <w:p>
            <w:pPr>
              <w:jc w:val="center"/>
            </w:pPr>
            <w:r/>
            <w:r>
              <w:rPr>
                <w:rFonts w:ascii="宋体" w:hAnsi="宋体" w:eastAsia="宋体"/>
                <w:b w:val="0"/>
                <w:sz w:val="21"/>
              </w:rPr>
              <w:t>elderly123</w:t>
            </w:r>
          </w:p>
        </w:tc>
      </w:tr>
    </w:tbl>
    <w:p/>
    <w:sectPr w:rsidR="00FC693F" w:rsidRPr="0006063C" w:rsidSect="00034616">
      <w:footerReference w:type="default" r:id="rId9"/>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