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79F26">
      <w:pPr>
        <w:widowControl/>
        <w:shd w:val="clear" w:color="auto" w:fill="FFFFFF"/>
        <w:spacing w:before="1800" w:after="375" w:line="540" w:lineRule="atLeast"/>
        <w:jc w:val="left"/>
        <w:outlineLvl w:val="1"/>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与痴呆症患者的沟通：态度问题</w:t>
      </w:r>
    </w:p>
    <w:p w14:paraId="48BE5C3A">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为了与患有痴呆症的人进行适当的沟通，对方必须意识到他或她无法继续以通常的方式进行沟通。</w:t>
      </w:r>
    </w:p>
    <w:p w14:paraId="7B4CEE02">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相反，他应该了解痴呆症患者改变的看法，并尝试让自己沉浸在他的世界中，以便进行某种程度的交流。痴呆症患者的看法可能会发生以下变化：</w:t>
      </w:r>
      <w:bookmarkStart w:id="0" w:name="_GoBack"/>
      <w:bookmarkEnd w:id="0"/>
    </w:p>
    <w:p w14:paraId="54B7D822">
      <w:pPr>
        <w:widowControl/>
        <w:numPr>
          <w:ilvl w:val="0"/>
          <w:numId w:val="1"/>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找词困难</w:t>
      </w:r>
    </w:p>
    <w:p w14:paraId="32CAFD4B">
      <w:pPr>
        <w:widowControl/>
        <w:numPr>
          <w:ilvl w:val="0"/>
          <w:numId w:val="1"/>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短期和/或长期记忆受损</w:t>
      </w:r>
    </w:p>
    <w:p w14:paraId="1D27790C">
      <w:pPr>
        <w:widowControl/>
        <w:numPr>
          <w:ilvl w:val="0"/>
          <w:numId w:val="1"/>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人格改变</w:t>
      </w:r>
    </w:p>
    <w:p w14:paraId="6D65344F">
      <w:pPr>
        <w:widowControl/>
        <w:shd w:val="clear" w:color="auto" w:fill="FFFFFF"/>
        <w:spacing w:before="1800" w:after="375" w:line="540" w:lineRule="atLeast"/>
        <w:jc w:val="left"/>
        <w:outlineLvl w:val="1"/>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适合阶段的沟通：轻度、中度、重度痴呆</w:t>
      </w:r>
    </w:p>
    <w:p w14:paraId="5051225E">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痴呆症通常分阶段发展。我们必须时刻牢记如何才能与受影响的人进行最佳沟通，这一点非常重要。沟通规则在这里起着重要作用。如果我们遵守这些规则，我们就可以避免误解并满足病人的需求。根据痴呆症的严重程度，沟通方式必定有很大差异。如果我们根据痴呆症的不同阶段应用沟通规则，我们就可以确保富有同情心和尊重的互动。</w:t>
      </w:r>
    </w:p>
    <w:p w14:paraId="3E89A698">
      <w:pPr>
        <w:widowControl/>
        <w:shd w:val="clear" w:color="auto" w:fill="FFFFFF"/>
        <w:spacing w:before="675" w:after="375" w:line="450" w:lineRule="atLeast"/>
        <w:jc w:val="left"/>
        <w:outlineLvl w:val="2"/>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轻度痴呆症患者的沟通</w:t>
      </w:r>
    </w:p>
    <w:p w14:paraId="49D2010D">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在痴呆症发作之初——即</w:t>
      </w:r>
      <w:r>
        <w:rPr>
          <w:sz w:val="28"/>
          <w:szCs w:val="28"/>
        </w:rPr>
        <w:fldChar w:fldCharType="begin"/>
      </w:r>
      <w:r>
        <w:rPr>
          <w:sz w:val="28"/>
          <w:szCs w:val="28"/>
        </w:rPr>
        <w:instrText xml:space="preserve"> HYPERLINK "https://www.pflege.de/krankheiten/demenz/" </w:instrText>
      </w:r>
      <w:r>
        <w:rPr>
          <w:sz w:val="28"/>
          <w:szCs w:val="28"/>
        </w:rPr>
        <w:fldChar w:fldCharType="separate"/>
      </w:r>
      <w:r>
        <w:rPr>
          <w:rFonts w:ascii="Helvetica" w:hAnsi="Helvetica" w:eastAsia="宋体" w:cs="Helvetica"/>
          <w:color w:val="C7384B"/>
          <w:kern w:val="0"/>
          <w:sz w:val="28"/>
          <w:szCs w:val="28"/>
          <w:u w:val="single"/>
        </w:rPr>
        <w:t>痴呆症</w:t>
      </w:r>
      <w:r>
        <w:rPr>
          <w:rFonts w:ascii="Helvetica" w:hAnsi="Helvetica" w:eastAsia="宋体" w:cs="Helvetica"/>
          <w:color w:val="C7384B"/>
          <w:kern w:val="0"/>
          <w:sz w:val="28"/>
          <w:szCs w:val="28"/>
          <w:u w:val="single"/>
        </w:rPr>
        <w:fldChar w:fldCharType="end"/>
      </w:r>
      <w:r>
        <w:rPr>
          <w:rFonts w:ascii="Helvetica" w:hAnsi="Helvetica" w:eastAsia="宋体" w:cs="Helvetica"/>
          <w:kern w:val="0"/>
          <w:sz w:val="28"/>
          <w:szCs w:val="28"/>
        </w:rPr>
        <w:t>的轻度或早期阶段——患者的感觉最初仅会发生轻微变化。患者可能会忘记姓名、放错物品、无法记住过去的事情，或者难以完成诸如预约等复杂任务。有时，受影响的人会显得心不在焉、坐立不安，需要比以前更多的时间来做出反应。</w:t>
      </w:r>
    </w:p>
    <w:p w14:paraId="763BB38A">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与轻度痴呆症患者交流时，给予患者更多时间来“反应”或回应非常重要。耐心，即冷静和毅力，应该从一开始就加以练习。</w:t>
      </w:r>
    </w:p>
    <w:p w14:paraId="052C8AC9">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始终保持友善并使用简单、简短的句子讲话。如果你说话缓慢、清晰，并用手势支持你所说的话，这将很有帮助。例如，用手扇动的动作来强调“今天很热”这句话。</w:t>
      </w:r>
    </w:p>
    <w:p w14:paraId="4C4605B1">
      <w:pPr>
        <w:widowControl/>
        <w:shd w:val="clear" w:color="auto" w:fill="FFFFFF"/>
        <w:spacing w:before="675" w:after="375" w:line="450" w:lineRule="atLeast"/>
        <w:jc w:val="left"/>
        <w:outlineLvl w:val="2"/>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中度痴呆症患者的沟通</w:t>
      </w:r>
    </w:p>
    <w:p w14:paraId="4E00797E">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在中度痴呆症阶段，患者的思维和记忆力往往会出现明显的差距。他们在日常活动中需要更多的帮助。患有痴呆症的人也会注意到自己的能力下降并试图应对其影响。通常会出现一些“假象行为”，例如掩盖事故、否认错误以及对周围的人进行严重指控。在某些情况下，在你周围的人看来，这是一种性格的改变。</w:t>
      </w:r>
    </w:p>
    <w:p w14:paraId="71FAC943">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从疾病的这个阶段开始，关注您所爱之人当前的情绪状态非常重要。因此，请以同理心作出反应，并传达出这种感觉是合理的。例如，如果您所爱的人因为突然的巨响而感到不安，您可以承认，“哦，声音好大！”始终以感激、接受和爱来传达您的信息。</w:t>
      </w:r>
    </w:p>
    <w:p w14:paraId="13FE40F2">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尝试通过传记作品尽可能长时间地保存您所爱之人的身份认同感：例如，向您所爱之人展示他们生命中某个时期的照片，例如学校、大学、早期工作生活、婚姻或幼儿时期。一起回忆和讨论事情可以为您和病人创造轻松的时刻。</w:t>
      </w:r>
    </w:p>
    <w:p w14:paraId="4CA1FF1B">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b/>
          <w:bCs/>
          <w:kern w:val="0"/>
          <w:sz w:val="28"/>
          <w:szCs w:val="28"/>
        </w:rPr>
        <w:t>重要提示：</w:t>
      </w:r>
      <w:r>
        <w:rPr>
          <w:rFonts w:ascii="Helvetica" w:hAnsi="Helvetica" w:eastAsia="宋体" w:cs="Helvetica"/>
          <w:kern w:val="0"/>
          <w:sz w:val="28"/>
          <w:szCs w:val="28"/>
        </w:rPr>
        <w:t>在这个阶段，患者通常会模仿与其交谈的人的肢体语言。愤怒、沮丧和焦躁以及好心情都是具有传染性的。请注意，您的肢体语言可以让您所爱的人放松和高兴起来。</w:t>
      </w:r>
    </w:p>
    <w:p w14:paraId="265BB072">
      <w:pPr>
        <w:widowControl/>
        <w:shd w:val="clear" w:color="auto" w:fill="FFFFFF"/>
        <w:spacing w:before="675" w:after="375" w:line="450" w:lineRule="atLeast"/>
        <w:jc w:val="left"/>
        <w:outlineLvl w:val="2"/>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严重痴呆症患者的沟通</w:t>
      </w:r>
    </w:p>
    <w:p w14:paraId="06EF98DE">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在痴呆症的最后阶段，许多患者失去了口头交流的能力。为了理解，非语言和情感交流变得越来越重要。基础刺激法特别适合与重度痴呆症患者的沟通。尝试刺激您所爱之人的各种感官并使用肢体语言进行交流。</w:t>
      </w:r>
    </w:p>
    <w:p w14:paraId="52F2AC09">
      <w:pPr>
        <w:widowControl/>
        <w:shd w:val="clear" w:color="auto" w:fill="FFF9E5"/>
        <w:jc w:val="left"/>
        <w:rPr>
          <w:rFonts w:ascii="宋体" w:hAnsi="宋体" w:eastAsia="宋体" w:cs="宋体"/>
          <w:b/>
          <w:bCs/>
          <w:caps/>
          <w:kern w:val="0"/>
          <w:sz w:val="28"/>
          <w:szCs w:val="28"/>
        </w:rPr>
      </w:pPr>
      <w:r>
        <w:rPr>
          <w:rFonts w:ascii="宋体" w:hAnsi="宋体" w:eastAsia="宋体" w:cs="宋体"/>
          <w:b/>
          <w:bCs/>
          <w:caps/>
          <w:kern w:val="0"/>
          <w:sz w:val="28"/>
          <w:szCs w:val="28"/>
        </w:rPr>
        <w:t>专家提示</w:t>
      </w:r>
    </w:p>
    <w:p w14:paraId="60D8391C">
      <w:pPr>
        <w:widowControl/>
        <w:shd w:val="clear" w:color="auto" w:fill="FFF9E5"/>
        <w:jc w:val="left"/>
        <w:rPr>
          <w:rFonts w:ascii="宋体" w:hAnsi="宋体" w:eastAsia="宋体" w:cs="宋体"/>
          <w:kern w:val="0"/>
          <w:sz w:val="28"/>
          <w:szCs w:val="28"/>
        </w:rPr>
      </w:pPr>
      <w:r>
        <w:rPr>
          <w:rFonts w:ascii="宋体" w:hAnsi="宋体" w:eastAsia="宋体" w:cs="宋体"/>
          <w:kern w:val="0"/>
          <w:sz w:val="28"/>
          <w:szCs w:val="28"/>
        </w:rPr>
        <w:t>请按照“少即是多”的座右铭行事，尤其是在疾病的这个阶段。许多受影响的人也喜欢默默地坐在一起。携手。这也不需要花很长时间。体验“我并不孤单”很重要，例如三到五分钟。</w:t>
      </w:r>
    </w:p>
    <w:p w14:paraId="5C7FB7A2">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对于处于这一阶段的许多患者来说，触摸变得尤为重要。尝试向您所爱的人表达爱意和感激。例如，早上给您所爱的人一个温暖的拥抱，或者在你们坐在一起聊天时握住他们的手。</w:t>
      </w:r>
    </w:p>
    <w:p w14:paraId="451FDDB9">
      <w:pPr>
        <w:widowControl/>
        <w:shd w:val="clear" w:color="auto" w:fill="FFFFFF"/>
        <w:spacing w:before="1800" w:after="375" w:line="540" w:lineRule="atLeast"/>
        <w:jc w:val="left"/>
        <w:outlineLvl w:val="1"/>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痴呆症患者的言语和非言语交流</w:t>
      </w:r>
    </w:p>
    <w:p w14:paraId="657FFC4F">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根据痴呆症所处的阶段，口头或非口头交流可能发挥重要作用。尤其在第一阶段，重点仍可放在言语交流上，而在后期，可以更加重视非言语交流。</w:t>
      </w:r>
    </w:p>
    <w:p w14:paraId="47F22C26">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验证、基本刺激和以人为本的护理是基于接受和欣赏原则的与痴呆症患者沟通的方法和概念。他们依赖口头和非口头的交流方式。</w:t>
      </w:r>
    </w:p>
    <w:p w14:paraId="415AD86B">
      <w:pPr>
        <w:widowControl/>
        <w:shd w:val="clear" w:color="auto" w:fill="FFFFFF"/>
        <w:spacing w:before="675" w:after="375" w:line="450" w:lineRule="atLeast"/>
        <w:jc w:val="left"/>
        <w:outlineLvl w:val="2"/>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口头交流</w:t>
      </w:r>
    </w:p>
    <w:p w14:paraId="7907BDC6">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特别是在痴呆症的早期阶段——轻度至中度痴呆——通常仍然可以与患者进行口头交流。遵循某些沟通规则会有所帮助，例如</w:t>
      </w:r>
    </w:p>
    <w:p w14:paraId="24E8CDA0">
      <w:pPr>
        <w:widowControl/>
        <w:numPr>
          <w:ilvl w:val="0"/>
          <w:numId w:val="2"/>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发音缓慢清晰</w:t>
      </w:r>
    </w:p>
    <w:p w14:paraId="1721C6EC">
      <w:pPr>
        <w:widowControl/>
        <w:numPr>
          <w:ilvl w:val="0"/>
          <w:numId w:val="2"/>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以“是”或“否”的方式提问</w:t>
      </w:r>
    </w:p>
    <w:p w14:paraId="458EB993">
      <w:pPr>
        <w:widowControl/>
        <w:numPr>
          <w:ilvl w:val="0"/>
          <w:numId w:val="2"/>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给予回应的时间</w:t>
      </w:r>
    </w:p>
    <w:p w14:paraId="04F65150">
      <w:pPr>
        <w:widowControl/>
        <w:numPr>
          <w:ilvl w:val="0"/>
          <w:numId w:val="2"/>
        </w:numPr>
        <w:shd w:val="clear" w:color="auto" w:fill="FFFFFF"/>
        <w:spacing w:before="100" w:beforeAutospacing="1" w:after="100" w:afterAutospacing="1"/>
        <w:ind w:left="0"/>
        <w:jc w:val="left"/>
        <w:rPr>
          <w:rFonts w:ascii="Helvetica" w:hAnsi="Helvetica" w:eastAsia="宋体" w:cs="Helvetica"/>
          <w:kern w:val="0"/>
          <w:sz w:val="28"/>
          <w:szCs w:val="28"/>
        </w:rPr>
      </w:pPr>
      <w:r>
        <w:rPr>
          <w:rFonts w:ascii="Helvetica" w:hAnsi="Helvetica" w:eastAsia="宋体" w:cs="Helvetica"/>
          <w:kern w:val="0"/>
          <w:sz w:val="28"/>
          <w:szCs w:val="28"/>
        </w:rPr>
        <w:t>用手势给句子加下划线</w:t>
      </w:r>
    </w:p>
    <w:p w14:paraId="401FAFD5">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有节奏的言语、韵律和音乐常常能激发记忆。一起唱歌或朗诵诗歌可以起到一种助记的作用。例如，先唱一首熟悉的歌曲或背诵一首熟悉的诗歌的第一节，然后让你所爱的人完成这一节。</w:t>
      </w:r>
    </w:p>
    <w:p w14:paraId="48A5663B">
      <w:pPr>
        <w:widowControl/>
        <w:shd w:val="clear" w:color="auto" w:fill="FFFFFF"/>
        <w:spacing w:before="675" w:after="375" w:line="450" w:lineRule="atLeast"/>
        <w:jc w:val="left"/>
        <w:outlineLvl w:val="2"/>
        <w:rPr>
          <w:rFonts w:ascii="Helvetica" w:hAnsi="Helvetica" w:eastAsia="宋体" w:cs="Helvetica"/>
          <w:b/>
          <w:bCs/>
          <w:color w:val="005B85"/>
          <w:kern w:val="0"/>
          <w:sz w:val="28"/>
          <w:szCs w:val="28"/>
        </w:rPr>
      </w:pPr>
      <w:r>
        <w:rPr>
          <w:rFonts w:ascii="Helvetica" w:hAnsi="Helvetica" w:eastAsia="宋体" w:cs="Helvetica"/>
          <w:b/>
          <w:bCs/>
          <w:color w:val="005B85"/>
          <w:kern w:val="0"/>
          <w:sz w:val="28"/>
          <w:szCs w:val="28"/>
        </w:rPr>
        <w:t>非语言交流</w:t>
      </w:r>
    </w:p>
    <w:p w14:paraId="2C688FE4">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在痴呆症的后期——有时是中度痴呆，有时是重度痴呆——口头交流通常不再良好甚至不可能。</w:t>
      </w:r>
    </w:p>
    <w:p w14:paraId="1F274F06">
      <w:pPr>
        <w:widowControl/>
        <w:shd w:val="clear" w:color="auto" w:fill="FFFFFF"/>
        <w:spacing w:before="100" w:beforeAutospacing="1" w:after="100" w:afterAutospacing="1"/>
        <w:jc w:val="left"/>
        <w:rPr>
          <w:rFonts w:ascii="Helvetica" w:hAnsi="Helvetica" w:eastAsia="宋体" w:cs="Helvetica"/>
          <w:kern w:val="0"/>
          <w:sz w:val="28"/>
          <w:szCs w:val="28"/>
        </w:rPr>
      </w:pPr>
      <w:r>
        <w:rPr>
          <w:rFonts w:ascii="Helvetica" w:hAnsi="Helvetica" w:eastAsia="宋体" w:cs="Helvetica"/>
          <w:kern w:val="0"/>
          <w:sz w:val="28"/>
          <w:szCs w:val="28"/>
        </w:rPr>
        <w:t>从此刻起，您仍然可以通过肢体语言和非语言信号与您所爱的人联系。基础刺激的概念令人印象深刻地描述了如何通过刺激各种感官知觉来与人们相处并建立信任联系。</w:t>
      </w:r>
    </w:p>
    <w:p w14:paraId="3B3C7A7C">
      <w:pPr>
        <w:widowControl/>
        <w:spacing w:line="210" w:lineRule="atLeast"/>
        <w:jc w:val="left"/>
        <w:rPr>
          <w:rFonts w:ascii="宋体" w:hAnsi="宋体" w:eastAsia="宋体" w:cs="宋体"/>
          <w:b/>
          <w:bCs/>
          <w:caps/>
          <w:kern w:val="0"/>
          <w:sz w:val="28"/>
          <w:szCs w:val="28"/>
        </w:rPr>
      </w:pPr>
      <w:r>
        <w:rPr>
          <w:rFonts w:ascii="宋体" w:hAnsi="宋体" w:eastAsia="宋体" w:cs="宋体"/>
          <w:b/>
          <w:bCs/>
          <w:caps/>
          <w:kern w:val="0"/>
          <w:sz w:val="28"/>
          <w:szCs w:val="28"/>
        </w:rPr>
        <w:t>提</w:t>
      </w:r>
    </w:p>
    <w:p w14:paraId="3EFA3039">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A217E9"/>
    <w:multiLevelType w:val="multilevel"/>
    <w:tmpl w:val="28A217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0E321A"/>
    <w:multiLevelType w:val="multilevel"/>
    <w:tmpl w:val="290E32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784"/>
    <w:rsid w:val="00944784"/>
    <w:rsid w:val="00970B2D"/>
    <w:rsid w:val="00C34E1D"/>
    <w:rsid w:val="27DE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10"/>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semiHidden/>
    <w:unhideWhenUsed/>
    <w:qFormat/>
    <w:uiPriority w:val="99"/>
    <w:rPr>
      <w:sz w:val="18"/>
      <w:szCs w:val="18"/>
    </w:rPr>
  </w:style>
  <w:style w:type="character" w:styleId="7">
    <w:name w:val="Hyperlink"/>
    <w:basedOn w:val="4"/>
    <w:semiHidden/>
    <w:unhideWhenUsed/>
    <w:qFormat/>
    <w:uiPriority w:val="99"/>
    <w:rPr>
      <w:color w:val="0000FF"/>
      <w:u w:val="single"/>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4"/>
    <w:qFormat/>
    <w:uiPriority w:val="22"/>
    <w:rPr>
      <w:b/>
      <w:bCs/>
    </w:rPr>
  </w:style>
  <w:style w:type="character" w:customStyle="1" w:styleId="10">
    <w:name w:val="标题 2 Char"/>
    <w:basedOn w:val="4"/>
    <w:link w:val="2"/>
    <w:qFormat/>
    <w:uiPriority w:val="9"/>
    <w:rPr>
      <w:rFonts w:ascii="宋体" w:hAnsi="宋体" w:eastAsia="宋体" w:cs="宋体"/>
      <w:b/>
      <w:bCs/>
      <w:kern w:val="0"/>
      <w:sz w:val="36"/>
      <w:szCs w:val="36"/>
    </w:rPr>
  </w:style>
  <w:style w:type="character" w:customStyle="1" w:styleId="11">
    <w:name w:val="标题 3 Char"/>
    <w:basedOn w:val="4"/>
    <w:link w:val="3"/>
    <w:qFormat/>
    <w:uiPriority w:val="9"/>
    <w:rPr>
      <w:rFonts w:ascii="宋体" w:hAnsi="宋体" w:eastAsia="宋体" w:cs="宋体"/>
      <w:b/>
      <w:bCs/>
      <w:kern w:val="0"/>
      <w:sz w:val="27"/>
      <w:szCs w:val="27"/>
    </w:rPr>
  </w:style>
  <w:style w:type="paragraph" w:customStyle="1" w:styleId="12">
    <w:name w:val="HTML Top of Form"/>
    <w:basedOn w:val="1"/>
    <w:next w:val="1"/>
    <w:link w:val="13"/>
    <w:semiHidden/>
    <w:unhideWhenUsed/>
    <w:qFormat/>
    <w:uiPriority w:val="99"/>
    <w:pPr>
      <w:widowControl/>
      <w:pBdr>
        <w:bottom w:val="single" w:color="auto" w:sz="6" w:space="1"/>
      </w:pBdr>
      <w:jc w:val="center"/>
    </w:pPr>
    <w:rPr>
      <w:rFonts w:ascii="Arial" w:hAnsi="Arial" w:eastAsia="宋体" w:cs="Arial"/>
      <w:vanish/>
      <w:kern w:val="0"/>
      <w:sz w:val="16"/>
      <w:szCs w:val="16"/>
    </w:rPr>
  </w:style>
  <w:style w:type="character" w:customStyle="1" w:styleId="13">
    <w:name w:val="z-窗体顶端 Char"/>
    <w:basedOn w:val="4"/>
    <w:link w:val="12"/>
    <w:semiHidden/>
    <w:qFormat/>
    <w:uiPriority w:val="99"/>
    <w:rPr>
      <w:rFonts w:ascii="Arial" w:hAnsi="Arial" w:eastAsia="宋体" w:cs="Arial"/>
      <w:vanish/>
      <w:kern w:val="0"/>
      <w:sz w:val="16"/>
      <w:szCs w:val="16"/>
    </w:rPr>
  </w:style>
  <w:style w:type="paragraph" w:customStyle="1" w:styleId="14">
    <w:name w:val="HTML Bottom of Form"/>
    <w:basedOn w:val="1"/>
    <w:next w:val="1"/>
    <w:link w:val="15"/>
    <w:semiHidden/>
    <w:unhideWhenUsed/>
    <w:qFormat/>
    <w:uiPriority w:val="99"/>
    <w:pPr>
      <w:widowControl/>
      <w:pBdr>
        <w:top w:val="single" w:color="auto" w:sz="6" w:space="1"/>
      </w:pBdr>
      <w:jc w:val="center"/>
    </w:pPr>
    <w:rPr>
      <w:rFonts w:ascii="Arial" w:hAnsi="Arial" w:eastAsia="宋体" w:cs="Arial"/>
      <w:vanish/>
      <w:kern w:val="0"/>
      <w:sz w:val="16"/>
      <w:szCs w:val="16"/>
    </w:rPr>
  </w:style>
  <w:style w:type="character" w:customStyle="1" w:styleId="15">
    <w:name w:val="z-窗体底端 Char"/>
    <w:basedOn w:val="4"/>
    <w:link w:val="14"/>
    <w:semiHidden/>
    <w:qFormat/>
    <w:uiPriority w:val="99"/>
    <w:rPr>
      <w:rFonts w:ascii="Arial" w:hAnsi="Arial" w:eastAsia="宋体" w:cs="Arial"/>
      <w:vanish/>
      <w:kern w:val="0"/>
      <w:sz w:val="16"/>
      <w:szCs w:val="16"/>
    </w:rPr>
  </w:style>
  <w:style w:type="character" w:customStyle="1" w:styleId="16">
    <w:name w:val="批注框文本 Char"/>
    <w:basedOn w:val="4"/>
    <w:link w:val="6"/>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268</Words>
  <Characters>1531</Characters>
  <Lines>12</Lines>
  <Paragraphs>3</Paragraphs>
  <TotalTime>1</TotalTime>
  <ScaleCrop>false</ScaleCrop>
  <LinksUpToDate>false</LinksUpToDate>
  <CharactersWithSpaces>1796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2025-03-19T10:49:00Z</dcterms:created>
  <dc:creator>sujian</dc:creator>
  <cp:lastModifiedBy>sujian</cp:lastModifiedBy>
  <dcterms:modified xsi:type="dcterms:W3CDTF">2025-07-09T08:22:08Z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5FAC92F748864FE2ADC74AADA7FA0C6C_12</vt:lpwstr>
  </property>
</Properties>
</file>